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bookmarkStart w:id="0" w:name="_GoBack"/>
      <w:bookmarkEnd w:id="0"/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8F3D33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8F3D33">
        <w:rPr>
          <w:rFonts w:ascii="Tahoma" w:hAnsi="Tahoma" w:cs="Tahoma"/>
          <w:b/>
          <w:sz w:val="18"/>
          <w:szCs w:val="18"/>
        </w:rPr>
        <w:t>Budowa systemu płatnego parkowania w Szpitalu Miejskim św. Jana Pawła II w Elblągu</w:t>
      </w:r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>UWAGA!</w:t>
      </w: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Niniejsze zobowiązanie należy przedłożyć </w:t>
      </w:r>
      <w:r w:rsidR="00351BDD" w:rsidRPr="008F3D33">
        <w:rPr>
          <w:rFonts w:ascii="Tahoma" w:hAnsi="Tahoma" w:cs="Tahoma"/>
          <w:b/>
          <w:color w:val="FF0000"/>
          <w:sz w:val="18"/>
          <w:szCs w:val="18"/>
        </w:rPr>
        <w:t xml:space="preserve">JEDYNIE </w:t>
      </w:r>
      <w:r w:rsidRPr="008F3D33">
        <w:rPr>
          <w:rFonts w:ascii="Tahoma" w:hAnsi="Tahoma" w:cs="Tahoma"/>
          <w:b/>
          <w:color w:val="FF0000"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-11430</wp:posOffset>
                </wp:positionV>
                <wp:extent cx="793115" cy="827405"/>
                <wp:effectExtent l="0" t="0" r="6985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5E1D4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5E1D4C">
            <w:rPr>
              <w:rFonts w:ascii="Tahoma" w:hAnsi="Tahoma" w:cs="Tahoma"/>
              <w:sz w:val="16"/>
            </w:rPr>
            <w:t>2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5E1D4C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5E1D4C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5E1D4C">
            <w:rPr>
              <w:rFonts w:ascii="Tahoma" w:hAnsi="Tahoma" w:cs="Tahoma"/>
              <w:bCs/>
              <w:color w:val="auto"/>
              <w:sz w:val="14"/>
              <w:szCs w:val="14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1D4C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D33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48A74-0DE8-4C7F-809E-A7BE0F2E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2025-02-18T11:51:00Z</dcterms:created>
  <dcterms:modified xsi:type="dcterms:W3CDTF">2025-02-18T11:51:00Z</dcterms:modified>
</cp:coreProperties>
</file>