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09" w:rsidRDefault="006C7C09" w:rsidP="006C7C09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7C09">
        <w:rPr>
          <w:rFonts w:ascii="Times New Roman" w:hAnsi="Times New Roman" w:cs="Times New Roman"/>
          <w:sz w:val="24"/>
          <w:szCs w:val="24"/>
        </w:rPr>
        <w:t xml:space="preserve">Przedmiotem zamówienia jest dostawa, montaż i uruchomienie systemu kontroli dostępu w serwerowni w Wojskowej Specjalistycznej Przychodni Lekarskiej SPZOZ w Stargardzie. </w:t>
      </w:r>
    </w:p>
    <w:p w:rsidR="006C7C09" w:rsidRDefault="006C7C09" w:rsidP="006C7C09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7C09" w:rsidRPr="006C7C09" w:rsidRDefault="006C7C09" w:rsidP="006C7C09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C09">
        <w:rPr>
          <w:rFonts w:ascii="Times New Roman" w:hAnsi="Times New Roman" w:cs="Times New Roman"/>
          <w:sz w:val="24"/>
          <w:szCs w:val="24"/>
        </w:rPr>
        <w:t>Sposób</w:t>
      </w:r>
      <w:r>
        <w:rPr>
          <w:rFonts w:ascii="Times New Roman" w:hAnsi="Times New Roman" w:cs="Times New Roman"/>
          <w:sz w:val="24"/>
          <w:szCs w:val="24"/>
        </w:rPr>
        <w:t xml:space="preserve">, miejsca zamocowań przewodów i </w:t>
      </w:r>
      <w:r w:rsidRPr="006C7C09">
        <w:rPr>
          <w:rFonts w:ascii="Times New Roman" w:hAnsi="Times New Roman" w:cs="Times New Roman"/>
          <w:sz w:val="24"/>
          <w:szCs w:val="24"/>
        </w:rPr>
        <w:t>urządzeń bezwzględnie powinny być uzgodnione z Zamawiającym – przed ich wykonaniem. Wykonawca zobowiązany jest przedstawić proponowane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>niego rozwiązania w formie dokumentacji projektowej. Wykonawca winien uwzględnić wszelkie koszty związane z wykonaniem przedmiotu zamówienia, w</w:t>
      </w:r>
    </w:p>
    <w:p w:rsidR="0028361C" w:rsidRPr="006C7C09" w:rsidRDefault="006C7C09" w:rsidP="006C7C09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C09">
        <w:rPr>
          <w:rFonts w:ascii="Times New Roman" w:hAnsi="Times New Roman" w:cs="Times New Roman"/>
          <w:sz w:val="24"/>
          <w:szCs w:val="24"/>
        </w:rPr>
        <w:t>tym robót budowlanych związanych z montażem, prowadzenia przewodów (przekucia, przewierty, obudowanie, roboty wykończeniowe), a także pomiarów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>sprawdzeń instalacji oraz przeszkoleniem pracowników Zamawiającego w zakresie obsługi urządzenia. Przy wykonywaniu prac modernizacyjnych 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>odpowiednio zabezpieczyć wyposażenie pomieszczeń przed kurzem, pyłem i innymi zanieczyszczeniami. Do prac można przystąpić jedynie 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>potwierdzenia przez Zamawiającego o wykonaniu właściwego zabezpieczenia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C09" w:rsidRPr="006C7C09" w:rsidRDefault="006C7C09" w:rsidP="006C7C09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7C09" w:rsidRPr="006C7C09" w:rsidRDefault="006C7C09" w:rsidP="006C7C09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7C09" w:rsidRPr="006C7C09" w:rsidRDefault="006C7C09" w:rsidP="006C7C09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C09">
        <w:rPr>
          <w:rFonts w:ascii="Times New Roman" w:hAnsi="Times New Roman" w:cs="Times New Roman"/>
          <w:sz w:val="24"/>
          <w:szCs w:val="24"/>
        </w:rPr>
        <w:t>Wymagane parametry, funkcje i wyposażenie:</w:t>
      </w:r>
    </w:p>
    <w:p w:rsidR="006C7C09" w:rsidRPr="006C7C09" w:rsidRDefault="006C7C09" w:rsidP="006C7C0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09">
        <w:rPr>
          <w:rFonts w:ascii="Times New Roman" w:hAnsi="Times New Roman" w:cs="Times New Roman"/>
          <w:sz w:val="24"/>
          <w:szCs w:val="24"/>
        </w:rPr>
        <w:t>kontroler dostępu – kontrola jednego przejścia obustronnie kontrolowanego, interfejs komunikacyjny Ethernet, możliwość podłączenia manipulatorów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 xml:space="preserve">oraz modułów rozszerzeń, możliwość obsługi za pomocą komputera, możliwość aktualizacji oprogramowania za pomocą komputera, rejestr historii wejść, </w:t>
      </w:r>
    </w:p>
    <w:p w:rsidR="006C7C09" w:rsidRPr="006C7C09" w:rsidRDefault="006C7C09" w:rsidP="006C7C0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09">
        <w:rPr>
          <w:rFonts w:ascii="Times New Roman" w:hAnsi="Times New Roman" w:cs="Times New Roman"/>
          <w:sz w:val="24"/>
          <w:szCs w:val="24"/>
        </w:rPr>
        <w:t>obudowa centrali – montaż natynkowy, stopień ochrony IP20, wykonane z blachy w kolorze białym, zamykanie – skręcane x4, miejsce na akumulator 12V,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>zabezpieczenie antysabotażowe (</w:t>
      </w:r>
      <w:proofErr w:type="spellStart"/>
      <w:r w:rsidRPr="006C7C09">
        <w:rPr>
          <w:rFonts w:ascii="Times New Roman" w:hAnsi="Times New Roman" w:cs="Times New Roman"/>
          <w:sz w:val="24"/>
          <w:szCs w:val="24"/>
        </w:rPr>
        <w:t>tamper</w:t>
      </w:r>
      <w:proofErr w:type="spellEnd"/>
      <w:r w:rsidRPr="006C7C09">
        <w:rPr>
          <w:rFonts w:ascii="Times New Roman" w:hAnsi="Times New Roman" w:cs="Times New Roman"/>
          <w:sz w:val="24"/>
          <w:szCs w:val="24"/>
        </w:rPr>
        <w:t xml:space="preserve">) – otwarcie obudowy, w zestawie transformator, maksymalne wymiary obudowy: szerokość 33 cm, wysokość 40 cm, głębokość 10 cm, </w:t>
      </w:r>
    </w:p>
    <w:p w:rsidR="006C7C09" w:rsidRPr="006C7C09" w:rsidRDefault="006C7C09" w:rsidP="006C7C0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09">
        <w:rPr>
          <w:rFonts w:ascii="Times New Roman" w:hAnsi="Times New Roman" w:cs="Times New Roman"/>
          <w:sz w:val="24"/>
          <w:szCs w:val="24"/>
        </w:rPr>
        <w:t>czytnik zbliżeniowy – identyfikacja za pomocą karty i kodu, wyposażona w diody LED informujące o stanie strefy, sygnalizację dźwiękową, przekaźnik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 xml:space="preserve">sterowania </w:t>
      </w:r>
      <w:proofErr w:type="spellStart"/>
      <w:r w:rsidRPr="006C7C09">
        <w:rPr>
          <w:rFonts w:ascii="Times New Roman" w:hAnsi="Times New Roman" w:cs="Times New Roman"/>
          <w:sz w:val="24"/>
          <w:szCs w:val="24"/>
        </w:rPr>
        <w:t>elektrozaczepem</w:t>
      </w:r>
      <w:proofErr w:type="spellEnd"/>
      <w:r w:rsidRPr="006C7C09">
        <w:rPr>
          <w:rFonts w:ascii="Times New Roman" w:hAnsi="Times New Roman" w:cs="Times New Roman"/>
          <w:sz w:val="24"/>
          <w:szCs w:val="24"/>
        </w:rPr>
        <w:t>, ryglem lub blokadą elektromagnetyczną, wejście do kontroli stanu drzwi, hermetyczna obudowa z możliwością montażu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>zewnątrz, optyczne zabezpieczenie sabotażowe reagujące na otwarcie obudowy i oderwanie od ściany, kolor obudowy: szary</w:t>
      </w:r>
    </w:p>
    <w:p w:rsidR="006C7C09" w:rsidRPr="006C7C09" w:rsidRDefault="006C7C09" w:rsidP="006C7C0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09">
        <w:rPr>
          <w:rFonts w:ascii="Times New Roman" w:hAnsi="Times New Roman" w:cs="Times New Roman"/>
          <w:sz w:val="24"/>
          <w:szCs w:val="24"/>
        </w:rPr>
        <w:t>zasilacz buforowy impulsowy – zasilacz umieszczony w metalowej obudowie, obudowa wyposażona w sygnalizację otwarcia drzwiczek (</w:t>
      </w:r>
      <w:proofErr w:type="spellStart"/>
      <w:r w:rsidRPr="006C7C09">
        <w:rPr>
          <w:rFonts w:ascii="Times New Roman" w:hAnsi="Times New Roman" w:cs="Times New Roman"/>
          <w:sz w:val="24"/>
          <w:szCs w:val="24"/>
        </w:rPr>
        <w:t>tamper</w:t>
      </w:r>
      <w:proofErr w:type="spellEnd"/>
      <w:r w:rsidRPr="006C7C09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09">
        <w:rPr>
          <w:rFonts w:ascii="Times New Roman" w:hAnsi="Times New Roman" w:cs="Times New Roman"/>
          <w:sz w:val="24"/>
          <w:szCs w:val="24"/>
        </w:rPr>
        <w:t xml:space="preserve">sygnalizacja optyczna LED, Zainstalowany akumulatory żelowy o minimalnej pojemności 7Ah, kontrola ładowania i konserwacji akumulatora, ochrona akumulatora przed nadmiernym rozładowaniem, zabezpieczenia przeciwzwarciowe, </w:t>
      </w:r>
      <w:proofErr w:type="spellStart"/>
      <w:r w:rsidRPr="006C7C09">
        <w:rPr>
          <w:rFonts w:ascii="Times New Roman" w:hAnsi="Times New Roman" w:cs="Times New Roman"/>
          <w:sz w:val="24"/>
          <w:szCs w:val="24"/>
        </w:rPr>
        <w:t>przeciwprzeciążeniowe</w:t>
      </w:r>
      <w:proofErr w:type="spellEnd"/>
      <w:r w:rsidRPr="006C7C0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7C09">
        <w:rPr>
          <w:rFonts w:ascii="Times New Roman" w:hAnsi="Times New Roman" w:cs="Times New Roman"/>
          <w:sz w:val="24"/>
          <w:szCs w:val="24"/>
        </w:rPr>
        <w:t>przeciwprzegrzaniowe</w:t>
      </w:r>
      <w:proofErr w:type="spellEnd"/>
      <w:r w:rsidRPr="006C7C09">
        <w:rPr>
          <w:rFonts w:ascii="Times New Roman" w:hAnsi="Times New Roman" w:cs="Times New Roman"/>
          <w:sz w:val="24"/>
          <w:szCs w:val="24"/>
        </w:rPr>
        <w:t>, zasilacz impulsowy 12V DC o wysokiej sprawności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C7C09" w:rsidRPr="006C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63156"/>
    <w:multiLevelType w:val="hybridMultilevel"/>
    <w:tmpl w:val="BD0025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93548"/>
    <w:multiLevelType w:val="hybridMultilevel"/>
    <w:tmpl w:val="1E6A1A06"/>
    <w:lvl w:ilvl="0" w:tplc="683096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09"/>
    <w:rsid w:val="0028361C"/>
    <w:rsid w:val="006C7C09"/>
    <w:rsid w:val="00B70E17"/>
    <w:rsid w:val="00BF6744"/>
    <w:rsid w:val="00E173A3"/>
    <w:rsid w:val="00E7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FB973-CEF2-4A99-8FDA-FCE623B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2024-04-19T07:57:00Z</dcterms:created>
  <dcterms:modified xsi:type="dcterms:W3CDTF">2024-04-19T07:57:00Z</dcterms:modified>
</cp:coreProperties>
</file>