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CD" w:rsidRPr="00A92525" w:rsidRDefault="00CE55CD" w:rsidP="00CE51B0">
      <w:pPr>
        <w:autoSpaceDE w:val="0"/>
        <w:autoSpaceDN w:val="0"/>
        <w:adjustRightInd w:val="0"/>
        <w:ind w:firstLine="5387"/>
        <w:rPr>
          <w:rFonts w:ascii="Arial" w:eastAsia="Calibri" w:hAnsi="Arial" w:cs="Arial"/>
          <w:lang w:eastAsia="en-US"/>
        </w:rPr>
      </w:pPr>
      <w:r w:rsidRPr="00A92525">
        <w:rPr>
          <w:rFonts w:ascii="Arial" w:eastAsia="Calibri" w:hAnsi="Arial" w:cs="Arial"/>
          <w:lang w:eastAsia="en-US"/>
        </w:rPr>
        <w:t>Załącznik do decyzji Nr 145/MON</w:t>
      </w:r>
    </w:p>
    <w:p w:rsidR="00CE55CD" w:rsidRPr="00A92525" w:rsidRDefault="00CE55CD" w:rsidP="00CE55CD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A92525">
        <w:rPr>
          <w:rFonts w:ascii="Arial" w:eastAsia="Calibri" w:hAnsi="Arial" w:cs="Arial"/>
          <w:lang w:eastAsia="en-US"/>
        </w:rPr>
        <w:t>Ministra Obrony Narodowej</w:t>
      </w:r>
    </w:p>
    <w:p w:rsidR="00CE55CD" w:rsidRPr="00A92525" w:rsidRDefault="00CE55CD" w:rsidP="00CE55CD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A92525">
        <w:rPr>
          <w:rFonts w:ascii="Arial" w:eastAsia="Calibri" w:hAnsi="Arial" w:cs="Arial"/>
          <w:lang w:eastAsia="en-US"/>
        </w:rPr>
        <w:t>z dnia 13 lipca 2017 r. (poz. 157)</w:t>
      </w:r>
    </w:p>
    <w:p w:rsidR="00CE55CD" w:rsidRPr="00A92525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eastAsia="en-US"/>
        </w:rPr>
      </w:pPr>
    </w:p>
    <w:p w:rsidR="00CE55CD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A92525">
        <w:rPr>
          <w:rFonts w:ascii="Arial" w:eastAsia="Calibri" w:hAnsi="Arial" w:cs="Arial"/>
          <w:b/>
          <w:bCs/>
          <w:lang w:eastAsia="en-US"/>
        </w:rPr>
        <w:t>ZASADY POSTĘPOWANIA W KONTAKTACH Z WYKONAWCAMI</w:t>
      </w:r>
    </w:p>
    <w:p w:rsidR="00CE55CD" w:rsidRPr="00A92525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eastAsia="en-US"/>
        </w:rPr>
      </w:pP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1</w:t>
      </w:r>
    </w:p>
    <w:p w:rsidR="00CE55CD" w:rsidRPr="00F13C9B" w:rsidRDefault="00CE55CD" w:rsidP="00F13C9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Postanowienia ogólne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1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CE55CD" w:rsidRPr="00F13C9B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Zasady postępowania w kontaktach z wykonawcami regulują postępowanie pracowników i żołnierzy komórek organizacyjnych Ministerstwa Obrony Narodowej, zwanych dalej „komórkami”, oraz jednostek organizacyjnych podległych Ministrowi Obrony Narodowej lub przez niego nadzorowanych, </w:t>
      </w:r>
      <w:r w:rsidR="00F13C9B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– w stosunku do osób prawnych, osób fizycznych oraz jednostek organizacyjnych niebędących osobami prawnymi, którym ustawa przyznaje zdolność prawną:</w:t>
      </w:r>
    </w:p>
    <w:p w:rsidR="00CE55CD" w:rsidRPr="00F13C9B" w:rsidRDefault="00CE55CD" w:rsidP="00F13C9B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wykonujących na rzecz Skarbu Państwa lub państwowej osoby prawnej odpłatne</w:t>
      </w:r>
    </w:p>
    <w:p w:rsidR="00CE55CD" w:rsidRPr="00F13C9B" w:rsidRDefault="00CE55CD" w:rsidP="00F13C9B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umowy, w szczególności na dostawy, świadczenie usług lub roboty budowlane;</w:t>
      </w:r>
    </w:p>
    <w:p w:rsidR="00CE55CD" w:rsidRPr="00F13C9B" w:rsidRDefault="00CE55CD" w:rsidP="00F13C9B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które z racji zakresu prowadzonej działalności mogą starać się o zawarcie umów, których mowa w pkt 1;</w:t>
      </w:r>
    </w:p>
    <w:p w:rsidR="00CE55CD" w:rsidRPr="00B47055" w:rsidRDefault="00CE55CD" w:rsidP="00CE55CD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które działają w imieniu lub na rzecz podmiotów wskazanych w pkt 1 lub 2, zwanych dalej "wykonawcami".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2.</w:t>
      </w:r>
    </w:p>
    <w:p w:rsidR="00CE55CD" w:rsidRPr="00F13C9B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3.</w:t>
      </w:r>
    </w:p>
    <w:p w:rsidR="00CE55CD" w:rsidRPr="00F13C9B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 kontaktach z wykonawcami należy kierować się zasadami:</w:t>
      </w:r>
    </w:p>
    <w:p w:rsidR="00CE55CD" w:rsidRPr="00F13C9B" w:rsidRDefault="00CE55CD" w:rsidP="00022963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godności i honoru;</w:t>
      </w:r>
    </w:p>
    <w:p w:rsidR="00CE55CD" w:rsidRPr="00F13C9B" w:rsidRDefault="00CE55CD" w:rsidP="00022963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zdrowego rozsądku i umiaru;</w:t>
      </w:r>
    </w:p>
    <w:p w:rsidR="00CE55CD" w:rsidRPr="00F13C9B" w:rsidRDefault="00CE55CD" w:rsidP="00022963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ochrony dobrego imienia Ministerstwa Obrony Narodowej i Sił Zbrojnych Rzeczypospolitej Polskiej;</w:t>
      </w:r>
    </w:p>
    <w:p w:rsidR="00CE55CD" w:rsidRPr="00F13C9B" w:rsidRDefault="00CE55CD" w:rsidP="00022963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pierwszeństwa interesów Ministerstwa Obrony Narodowej i Sił Zbrojnych Rzeczypospolitej Polskiej;</w:t>
      </w:r>
    </w:p>
    <w:p w:rsidR="00CE55CD" w:rsidRPr="00F13C9B" w:rsidRDefault="00CE55CD" w:rsidP="00022963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unikania sytuacji, które mogłyby wywoływać powstanie długu materialnego lub honorowego albo poczucia wdzięczności;</w:t>
      </w:r>
    </w:p>
    <w:p w:rsidR="00CE55CD" w:rsidRPr="00B47055" w:rsidRDefault="00CE55CD" w:rsidP="00B47055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bezstronności oraz unikania zachowań faworyzujących konkretnego wykonawcę w stosunku do jego konkurencji.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2</w:t>
      </w:r>
    </w:p>
    <w:p w:rsidR="00CE55CD" w:rsidRPr="00F13C9B" w:rsidRDefault="00CE55CD" w:rsidP="00F13C9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Rozliczanie kosztów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4.</w:t>
      </w:r>
    </w:p>
    <w:p w:rsidR="00CE55CD" w:rsidRPr="00F13C9B" w:rsidRDefault="00CE55CD" w:rsidP="00022963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Przy rozliczaniu kosztów poniesionych w związku z bezpośrednimi kontaktami z wykonawcami należy przyjąć zasadę "każdy płaci za siebie",</w:t>
      </w:r>
      <w:r w:rsidR="0002296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w szczególności:</w:t>
      </w:r>
    </w:p>
    <w:p w:rsidR="00CE55CD" w:rsidRPr="00F13C9B" w:rsidRDefault="00CE55CD" w:rsidP="00022963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koszty podróży służbowych, w tym koszty dojazdów, wyżywienia i noclegów pokrywa się wyłącznie z budżetu, którego dysponentem jest Minister Obrony Narodowej;</w:t>
      </w:r>
    </w:p>
    <w:p w:rsidR="00CE55CD" w:rsidRPr="00F13C9B" w:rsidRDefault="00CE55CD" w:rsidP="00022963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w restauracjach i innych miejscach wspólnego przebywania rachunki należy opłacać z własnych środków w ramach późniejszego rozliczenia służbowego, lub ze środków pochodzących </w:t>
      </w:r>
      <w:r w:rsidR="00022963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z budżetu, którego dysponentem jest Minister Obrony Narodowej (karty płatnicze).</w:t>
      </w:r>
    </w:p>
    <w:p w:rsidR="00CE55CD" w:rsidRPr="00F13C9B" w:rsidRDefault="00CE55CD" w:rsidP="00022963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Niedopuszczalne jest korzystanie z fundowanego przez wykonawców wyżywienia, transportu, ani </w:t>
      </w:r>
      <w:r w:rsidR="00022963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z pokrywania przez nich innych kosztów i zobowiązań z wyjątkiem:</w:t>
      </w:r>
    </w:p>
    <w:p w:rsidR="00CE55CD" w:rsidRPr="00F13C9B" w:rsidRDefault="00CE55CD" w:rsidP="0002296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drobnych poczęstunków serwowanych w trakcie podróży służbowych;</w:t>
      </w:r>
    </w:p>
    <w:p w:rsidR="00CE51B0" w:rsidRPr="00B47055" w:rsidRDefault="00CE55CD" w:rsidP="00B47055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transportu związanego z wykonywaniem zadań w ramach podróży służbowych.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3</w:t>
      </w:r>
    </w:p>
    <w:p w:rsidR="00CE55CD" w:rsidRPr="00F13C9B" w:rsidRDefault="00CE55CD" w:rsidP="0002296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Przedsięwzięcia i spotkania z udziałem wykonawców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5.</w:t>
      </w:r>
    </w:p>
    <w:p w:rsidR="00CE55CD" w:rsidRPr="00F13C9B" w:rsidRDefault="00CE55CD" w:rsidP="00022963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Dopuszczalne są przedsięwzięcia związane z zawarciem lub realizacją umowy, organizowane wspólnie przez komórki lub jednostki organizacyjne oraz wykonawców.</w:t>
      </w:r>
    </w:p>
    <w:p w:rsidR="00CE55CD" w:rsidRPr="00F13C9B" w:rsidRDefault="00CE55CD" w:rsidP="00022963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Dopuszczalne jest udzielanie pomocy krajowym przedsiębiorstwom sektora obronnego </w:t>
      </w:r>
      <w:r w:rsidR="00022963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w przedsięwzięciach promocyjnych skierowanych na rynki zagraniczne, w </w:t>
      </w:r>
      <w:r w:rsidR="00022963">
        <w:rPr>
          <w:rFonts w:ascii="Arial" w:eastAsia="Calibri" w:hAnsi="Arial" w:cs="Arial"/>
          <w:sz w:val="20"/>
          <w:szCs w:val="20"/>
          <w:lang w:eastAsia="en-US"/>
        </w:rPr>
        <w:t xml:space="preserve">tym w ramach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lastRenderedPageBreak/>
        <w:t>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CE55CD" w:rsidRPr="00F13C9B" w:rsidRDefault="00CE55CD" w:rsidP="00022963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CE55CD" w:rsidRPr="00F13C9B" w:rsidRDefault="00CE55CD" w:rsidP="00022963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Zaangażowanie w inne niż wymienione w ust. 1-3 przedsięwzięcia z udziałem wykonawców, w tym w szczególności konferencje, seminaria, sympozja –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przedsięwzięciu z udziałem wykonawców, pisemną zgodę wydaje jego bezpośredni przełożony.</w:t>
      </w:r>
    </w:p>
    <w:p w:rsidR="00CE55CD" w:rsidRPr="00B47055" w:rsidRDefault="00CE55CD" w:rsidP="00B47055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Obowiązki, o których mowa w ust. 4, nie dotyczą przypadku, gdy organizatorem, lub współorganizatorem przedsięwzięcia jest Ministerstwo Obrony Narodowej lub inne instytucje krajowej administracji rządowej.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6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CE55CD" w:rsidRPr="00F13C9B" w:rsidRDefault="00CE55CD" w:rsidP="00022963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Wszelkie spotkania z wykonawcami, jeżeli nie mają charakteru:</w:t>
      </w:r>
    </w:p>
    <w:p w:rsidR="00CE55CD" w:rsidRPr="00F13C9B" w:rsidRDefault="00CE55CD" w:rsidP="00022963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przedsięwzięć wymienionych w § 5 ust. 1-3, lub</w:t>
      </w:r>
    </w:p>
    <w:p w:rsidR="00CE55CD" w:rsidRPr="00F13C9B" w:rsidRDefault="00CE55CD" w:rsidP="00022963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konferencji, seminariów lub sympozjów wymienionych w § 5 ust. 4 i 5, lub</w:t>
      </w:r>
    </w:p>
    <w:p w:rsidR="00CE55CD" w:rsidRPr="00F13C9B" w:rsidRDefault="00CE55CD" w:rsidP="00022963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spotkań towarzyskich, odbywających się poza godzinami pracy, podczas których nie poruszano żadnych kwestii służbowych, lub </w:t>
      </w:r>
    </w:p>
    <w:p w:rsidR="00CE55CD" w:rsidRPr="00F13C9B" w:rsidRDefault="00CE55CD" w:rsidP="00022963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spotkań o charakterze jedynie organizacyjno-porządkowym –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</w:t>
      </w:r>
      <w:r w:rsidR="00836796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i dźwięku.</w:t>
      </w:r>
    </w:p>
    <w:p w:rsidR="00CE55CD" w:rsidRPr="00F13C9B" w:rsidRDefault="00CE55CD" w:rsidP="00836796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Utrwalenie przebiegu spotkania z wykonawcami za pomocą urządzeń i środków technicznych służących do utrwalania dźwięku albo obrazu i dźwięku, zwane dalej „zapisem”, następuje po uprzednim uzyskaniu zgody wykonawcy na taki sposób utrwalenia przebiegu spotkania.</w:t>
      </w:r>
    </w:p>
    <w:p w:rsidR="00CE55CD" w:rsidRPr="00F13C9B" w:rsidRDefault="00CE55CD" w:rsidP="00836796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Niedopuszczalne jest kontynuowanie spotkania z wykonawcą, który nie wyraził zgody na utrwalenie jego przebiegu, przy jednoczesnym braku możliwości zapewnienia udziału dwóch osób w spotkaniu, o którym mowa w ust. 1.</w:t>
      </w:r>
    </w:p>
    <w:p w:rsidR="00CE55CD" w:rsidRPr="00F13C9B" w:rsidRDefault="00CE55CD" w:rsidP="00836796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Zapis następuje za pomocą urządzeń i środków technicznych wykorzystujących technikę cyfrową, zapewniającą:</w:t>
      </w:r>
    </w:p>
    <w:p w:rsidR="00CE55CD" w:rsidRPr="00F13C9B" w:rsidRDefault="00CE55CD" w:rsidP="00836796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integralność zapisu;</w:t>
      </w:r>
    </w:p>
    <w:p w:rsidR="00CE55CD" w:rsidRPr="00F13C9B" w:rsidRDefault="00CE55CD" w:rsidP="00836796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kopiowanie zapisu pomiędzy urządzeniami, środkami technicznymi i informatycznymi nośnikami danych;</w:t>
      </w:r>
    </w:p>
    <w:p w:rsidR="00CE55CD" w:rsidRPr="00F13C9B" w:rsidRDefault="00CE55CD" w:rsidP="00836796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zabezpieczenie zapisu, w szczególności przed utratą lub nieuzasadnioną zmianą;</w:t>
      </w:r>
    </w:p>
    <w:p w:rsidR="00CE55CD" w:rsidRPr="00F13C9B" w:rsidRDefault="00CE55CD" w:rsidP="00836796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odtworzenie zapisu także przy użyciu urządzeń i środków technicznych korygujących lub wzmacniających utrwalony dźwięk lub obraz;</w:t>
      </w:r>
    </w:p>
    <w:p w:rsidR="00CE55CD" w:rsidRPr="00F13C9B" w:rsidRDefault="00CE55CD" w:rsidP="00836796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udostępnienie zapisu na informatycznym nośniku danych;</w:t>
      </w:r>
    </w:p>
    <w:p w:rsidR="00CE55CD" w:rsidRPr="00F13C9B" w:rsidRDefault="00CE55CD" w:rsidP="00836796">
      <w:pPr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możliwość bieżącej kontroli dokonywanego zapisu.</w:t>
      </w:r>
    </w:p>
    <w:p w:rsidR="00CE55CD" w:rsidRPr="00B47055" w:rsidRDefault="00CE55CD" w:rsidP="00B47055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Informatyczne nośniki danych na których dokonano zapisu podlegają zdeponowaniu w kancelarii komórki lub jednostki organizacyjnej, której pracownik lub żołnierz brał udział w spotkaniu </w:t>
      </w:r>
      <w:r w:rsidR="00836796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z wykonawcą, gdzie następnie są archiwizowane przez okres 3 lat.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4</w:t>
      </w:r>
    </w:p>
    <w:p w:rsidR="00CE55CD" w:rsidRPr="00F13C9B" w:rsidRDefault="00CE55CD" w:rsidP="0083679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Sponsorowanie przedsięwzięć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7.</w:t>
      </w:r>
    </w:p>
    <w:p w:rsidR="00CE55CD" w:rsidRPr="00F13C9B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Z zastrzeżeniem § 5 ust. 1-3, niedopuszczalne jest, aby przedsięwzięcia organizowane lub współorganizowane przez komórki lub jednostki organizacyjne były</w:t>
      </w:r>
    </w:p>
    <w:p w:rsidR="00CE55CD" w:rsidRPr="00F13C9B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finansowane, współfinansowane lub w inny sposób materialnie wspierane przez</w:t>
      </w:r>
    </w:p>
    <w:p w:rsidR="00CE55CD" w:rsidRPr="00F13C9B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wykonawców, chyba że jest to związane bezpośrednio z koniecznością pokrycia</w:t>
      </w:r>
    </w:p>
    <w:p w:rsidR="00CE55CD" w:rsidRPr="00F13C9B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kosztów wynikających z uczestnictwa wykonawcy w danym przedsięwzięciu.</w:t>
      </w:r>
    </w:p>
    <w:p w:rsidR="00CE55CD" w:rsidRPr="00F13C9B" w:rsidRDefault="00CE55CD" w:rsidP="00CE55C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B47055" w:rsidRDefault="00B47055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Rozdział 5</w:t>
      </w:r>
    </w:p>
    <w:p w:rsidR="00CE55CD" w:rsidRPr="00F13C9B" w:rsidRDefault="00CE55CD" w:rsidP="0083679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Prezenty, materiały promocyjne i informacyjne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8.</w:t>
      </w:r>
    </w:p>
    <w:p w:rsidR="00CE55CD" w:rsidRPr="00F13C9B" w:rsidRDefault="00CE55CD" w:rsidP="00836796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Niedopuszczalne jest przyjmowanie od wykonawców prezentów w postaci jakichkolwiek korzyści majątkowych lub osobistych.</w:t>
      </w:r>
    </w:p>
    <w:p w:rsidR="00CE55CD" w:rsidRPr="00F13C9B" w:rsidRDefault="00CE55CD" w:rsidP="00836796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Dopuszczalne jest przyjmowanie materiałów promocyjnych o znikomej wartości handlowej.</w:t>
      </w:r>
    </w:p>
    <w:p w:rsidR="00CE55CD" w:rsidRPr="00F13C9B" w:rsidRDefault="00CE55CD" w:rsidP="00836796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Dopuszczalne i zalecane jest przyjmowanie materiałów informacyjnych.</w:t>
      </w:r>
    </w:p>
    <w:p w:rsidR="00CE55CD" w:rsidRPr="00F13C9B" w:rsidRDefault="00CE55CD" w:rsidP="00836796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CE55CD" w:rsidRPr="00B47055" w:rsidRDefault="00CE55CD" w:rsidP="00CE55CD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Niewskazane jest używanie na terenie komórek i jednostek organizacyjnych materiałów i oznaczeń promujących wykonawców, w tym także materiałów biurowych.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6</w:t>
      </w:r>
    </w:p>
    <w:p w:rsidR="00CE55CD" w:rsidRPr="00F13C9B" w:rsidRDefault="00CE55CD" w:rsidP="0083679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Kontakty towarzyskie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9.</w:t>
      </w:r>
    </w:p>
    <w:p w:rsidR="00CE55CD" w:rsidRPr="00B47055" w:rsidRDefault="00CE55CD" w:rsidP="00CE55CD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Kontakty towarzyskie z wykonawcami, nawiązane zanim powstały relacje </w:t>
      </w:r>
      <w:r w:rsidR="00836796">
        <w:rPr>
          <w:rFonts w:ascii="Arial" w:eastAsia="Calibri" w:hAnsi="Arial" w:cs="Arial"/>
          <w:sz w:val="20"/>
          <w:szCs w:val="20"/>
          <w:lang w:eastAsia="en-US"/>
        </w:rPr>
        <w:t xml:space="preserve">wynikające </w:t>
      </w:r>
      <w:r w:rsidR="00836796">
        <w:rPr>
          <w:rFonts w:ascii="Arial" w:eastAsia="Calibri" w:hAnsi="Arial" w:cs="Arial"/>
          <w:sz w:val="20"/>
          <w:szCs w:val="20"/>
          <w:lang w:eastAsia="en-US"/>
        </w:rPr>
        <w:br/>
        <w:t xml:space="preserve">z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wykonywanych obowiązków mogą być kontynuowane, przy zachowaniu zasad określonych w § 3 niniejszego załącznika.</w:t>
      </w:r>
      <w:r w:rsidR="0083679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W przypadkach innych niż określone w ust. 1, nie zaleca się nawiązywania kontaktów towarzyskich z wykonawcami.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7</w:t>
      </w:r>
    </w:p>
    <w:p w:rsidR="00CE55CD" w:rsidRPr="00F13C9B" w:rsidRDefault="00CE55CD" w:rsidP="0083679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Najem i użyczanie lokali oraz terenów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10.</w:t>
      </w:r>
    </w:p>
    <w:p w:rsidR="00CE55CD" w:rsidRPr="00F13C9B" w:rsidRDefault="00CE55CD" w:rsidP="00836796">
      <w:pPr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Dopuszczalne jest wynajmowanie lub użyczanie wykonawcom lokali i terenów resortu obrony narodowej w celu:</w:t>
      </w:r>
    </w:p>
    <w:p w:rsidR="00CE55CD" w:rsidRPr="00F13C9B" w:rsidRDefault="00CE55CD" w:rsidP="00836796">
      <w:pPr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przeprowadzenia prezentacji lub pokazów na rzecz komórek lub jednostek organizacyjnych;</w:t>
      </w:r>
    </w:p>
    <w:p w:rsidR="00CE55CD" w:rsidRPr="00F13C9B" w:rsidRDefault="00CE55CD" w:rsidP="00836796">
      <w:pPr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przeprowadzenia prezentacji lub pokazów organizowanych przez krajowe przedsiębiorstwa sektora obronnego dla odbiorców zagranicznych;</w:t>
      </w:r>
    </w:p>
    <w:p w:rsidR="00CE55CD" w:rsidRPr="00B47055" w:rsidRDefault="00CE55CD" w:rsidP="00CE55CD">
      <w:pPr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realizowania zadań przez Agencję Mienia Wojskowego, wynikających z odrębnych przepisów.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8</w:t>
      </w:r>
    </w:p>
    <w:p w:rsidR="00CE55CD" w:rsidRPr="00F13C9B" w:rsidRDefault="00CE55CD" w:rsidP="0083679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Prezentacje, pokazy i referencje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11.</w:t>
      </w:r>
    </w:p>
    <w:p w:rsidR="00CE55CD" w:rsidRPr="00F13C9B" w:rsidRDefault="00CE55CD" w:rsidP="00836796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CE55CD" w:rsidRPr="00F13C9B" w:rsidRDefault="00CE55CD" w:rsidP="00836796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Wskazane jest, aby prezentacje lub pokazy odbywały się na terenie komórek</w:t>
      </w:r>
      <w:r w:rsidR="00C70D6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i jednostek organizacyjnych lub podczas targów.</w:t>
      </w:r>
    </w:p>
    <w:p w:rsidR="00CE55CD" w:rsidRPr="00F13C9B" w:rsidRDefault="00CE55CD" w:rsidP="00836796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br/>
        <w:t>lub jednostek organizacyjnych.</w:t>
      </w:r>
    </w:p>
    <w:p w:rsidR="00CE55CD" w:rsidRPr="00F13C9B" w:rsidRDefault="00CE55CD" w:rsidP="00836796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Niedopuszczalne jest obciążanie Skarbu Państwa – Ministra Obrony Narodowej, lub państwowej osoby prawnej kosztami organizowanych prezentacji lub pokazów, z wyłączeniem opłat z tytułu zużytych mediów i wstawek konferencyjnych.</w:t>
      </w:r>
    </w:p>
    <w:p w:rsidR="00CE55CD" w:rsidRPr="00F13C9B" w:rsidRDefault="00CE55CD" w:rsidP="00836796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 celu zbierania niezbędnych doświadczeń i informacji dyrektorzy</w:t>
      </w:r>
      <w:r w:rsidR="00C70D6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(szefowie, komendanci, kierownicy, dowódcy, prezesi) komórek i jednostek organizacyjnych mogą za pisemną zgodą bezpośredniego przełożonego organizować prezentacje i pokazy z udziałem wykonawców.</w:t>
      </w:r>
    </w:p>
    <w:p w:rsidR="00CE55CD" w:rsidRPr="00F13C9B" w:rsidRDefault="00CE55CD" w:rsidP="00836796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Dyrektor (szef, komendant, kierownik, dowódca, prezes) komórki lub jednostki organizacyjnej odpowiedzialnej za organizację przedsięwzięcia, o którym mowa w ust.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CE55CD" w:rsidRPr="00F13C9B" w:rsidRDefault="00CE55CD" w:rsidP="00836796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Wskazane jest zamieszczanie przez komórki i jednostki organizacyjne</w:t>
      </w:r>
      <w:r w:rsidR="00C70D6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12.</w:t>
      </w:r>
    </w:p>
    <w:p w:rsidR="00CE55CD" w:rsidRPr="00F13C9B" w:rsidRDefault="00CE55CD" w:rsidP="00C70D68">
      <w:pPr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Dopuszczalne jest udzielenie wykonawcy pozytywnych referencji (poświadczenia) w związku </w:t>
      </w:r>
      <w:r w:rsidR="00C70D68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z należytym wykonaniem przez niego umowy.</w:t>
      </w:r>
    </w:p>
    <w:p w:rsidR="00C70D68" w:rsidRPr="00B47055" w:rsidRDefault="00CE55CD" w:rsidP="00B47055">
      <w:pPr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Referencji, o których mowa w ust. 1, udziela w formie pisemnej zamawiający po uprzednim ustaleniu należytego wykonania umowy. Niedopuszczalne jest udzielanie referencji, o których mowa w ust. 1,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lastRenderedPageBreak/>
        <w:t>wykonawcom, w stosunku do których zamawiający uprawniony jest do zgłoszenia roszczeń z tytułu niewykonania lub nienależytego wykonania umowy, której mają dotyczyć referencje.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9</w:t>
      </w:r>
    </w:p>
    <w:p w:rsidR="00CE55CD" w:rsidRPr="00F13C9B" w:rsidRDefault="00CE55CD" w:rsidP="00C70D6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Faworyzowanie i konflikt interesów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13.</w:t>
      </w:r>
    </w:p>
    <w:p w:rsidR="00CE55CD" w:rsidRPr="00F13C9B" w:rsidRDefault="00CE55CD" w:rsidP="00C70D68">
      <w:pPr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Niedopuszczalne jest faworyzowanie wykonawcy, polegające w szczególności na:</w:t>
      </w:r>
    </w:p>
    <w:p w:rsidR="00CE55CD" w:rsidRPr="00F13C9B" w:rsidRDefault="00CE55CD" w:rsidP="00C70D68">
      <w:pPr>
        <w:numPr>
          <w:ilvl w:val="0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wcześniejszym udzielaniu mu informacji,</w:t>
      </w:r>
    </w:p>
    <w:p w:rsidR="00CE55CD" w:rsidRPr="00F13C9B" w:rsidRDefault="00CE55CD" w:rsidP="00C70D68">
      <w:pPr>
        <w:numPr>
          <w:ilvl w:val="0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nieuzasadnionym ograniczeniu innym wykonawcom dostępu do informacji – które może stawiać go w uprzywilejowanej pozycji w stosunku do innych wykonawców.</w:t>
      </w:r>
    </w:p>
    <w:p w:rsidR="00CE55CD" w:rsidRPr="00F13C9B" w:rsidRDefault="00CE55CD" w:rsidP="00C70D68">
      <w:pPr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</w:t>
      </w:r>
      <w:r w:rsidR="00C24712" w:rsidRPr="00F13C9B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z obiektywnym i bezstronnym wykonywaniem realizowanych przez nich obowiązków (postrzegalny konflikt interesów).</w:t>
      </w:r>
    </w:p>
    <w:p w:rsidR="00CE55CD" w:rsidRPr="00F13C9B" w:rsidRDefault="00CE55CD" w:rsidP="00C70D68">
      <w:pPr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Przez konflikt interesów należy rozumieć, w szczególności posiadanie powiązań o charakterze finansowym, rodzinnym lub towarzyskim z wykonawcą.</w:t>
      </w:r>
    </w:p>
    <w:p w:rsidR="00CE55CD" w:rsidRPr="00F13C9B" w:rsidRDefault="00CE55CD" w:rsidP="00C70D68">
      <w:pPr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</w:t>
      </w:r>
      <w:r w:rsidR="00C24712" w:rsidRPr="00F13C9B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w jednostkach organizacyjnych, rozstrzyga niezwłocznie o potrzebie podjęcia czynności zaradczych w celu wyeliminowania lub ograniczenia możliwości zaistnienia konfliktu interesów.</w:t>
      </w:r>
    </w:p>
    <w:p w:rsidR="00CE55CD" w:rsidRPr="00F13C9B" w:rsidRDefault="00CE55CD" w:rsidP="00E75667">
      <w:pPr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Czynnością zaradczą, o której mowa w ust. 4, może być w szczególności:</w:t>
      </w:r>
    </w:p>
    <w:p w:rsidR="00CE55CD" w:rsidRPr="00F13C9B" w:rsidRDefault="00CE55CD" w:rsidP="00E75667">
      <w:pPr>
        <w:numPr>
          <w:ilvl w:val="0"/>
          <w:numId w:val="46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wydanie dyspozycji o konieczności udziału minimum dwóch osób w realizacji określonych czynności (zasada „wielu par oczu”), lub</w:t>
      </w:r>
    </w:p>
    <w:p w:rsidR="00CE55CD" w:rsidRPr="00F13C9B" w:rsidRDefault="00CE55CD" w:rsidP="00E75667">
      <w:pPr>
        <w:numPr>
          <w:ilvl w:val="0"/>
          <w:numId w:val="46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włączenie dodatkowych mechanizmów nadzorczych, w tym kontrolnych, lub sprawozdawczych w realizacji określonych czynności, lub</w:t>
      </w:r>
    </w:p>
    <w:p w:rsidR="00CE55CD" w:rsidRPr="00F13C9B" w:rsidRDefault="00CE55CD" w:rsidP="00E75667">
      <w:pPr>
        <w:numPr>
          <w:ilvl w:val="0"/>
          <w:numId w:val="46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wyłączenie osoby pozostającej w konflikcie interesów z udziału w określonej czynności, lub</w:t>
      </w:r>
    </w:p>
    <w:p w:rsidR="00CE55CD" w:rsidRPr="00F13C9B" w:rsidRDefault="00CE55CD" w:rsidP="00E75667">
      <w:pPr>
        <w:numPr>
          <w:ilvl w:val="0"/>
          <w:numId w:val="46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doprowadzenie do rozwiązania umowy cywilnoprawnej zawartej z osobą fizyczną, o której mowa w ust. 2.</w:t>
      </w:r>
    </w:p>
    <w:p w:rsidR="00CE55CD" w:rsidRPr="00F13C9B" w:rsidRDefault="00CE55CD" w:rsidP="00E75667">
      <w:pPr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</w:t>
      </w:r>
    </w:p>
    <w:p w:rsidR="00CE55CD" w:rsidRPr="00B47055" w:rsidRDefault="00CE55CD" w:rsidP="00CE55CD">
      <w:pPr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10</w:t>
      </w:r>
    </w:p>
    <w:p w:rsidR="00CE55CD" w:rsidRPr="00F13C9B" w:rsidRDefault="00CE55CD" w:rsidP="00E7566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Sprawozdawczość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14.</w:t>
      </w:r>
    </w:p>
    <w:p w:rsidR="00CE55CD" w:rsidRPr="00F13C9B" w:rsidRDefault="00CE55CD" w:rsidP="00E75667">
      <w:pPr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– również szczegółowych danych uzyskanych od wykonawcy </w:t>
      </w:r>
      <w:r w:rsidR="00E75667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i przekazanych wykonawcy. Istnieje możliwość sporządzenia wspólnej notatki przez osoby uczestniczące w kontaktach z wykonawcami.</w:t>
      </w:r>
    </w:p>
    <w:p w:rsidR="00CE55CD" w:rsidRPr="00F13C9B" w:rsidRDefault="00CE55CD" w:rsidP="00E75667">
      <w:pPr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CE55CD" w:rsidRPr="00F13C9B" w:rsidRDefault="00CE55CD" w:rsidP="00E75667">
      <w:pPr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Treść notatki zamieszcza się w terminie 14 dni od dnia przeprowadzenia kontaktu w wewnętrznej sieci elektronicznej w zakładce pod nazwą „kontakty z wykonawcami”.</w:t>
      </w:r>
    </w:p>
    <w:p w:rsidR="00CE55CD" w:rsidRPr="00F13C9B" w:rsidRDefault="00CE55CD" w:rsidP="00E75667">
      <w:pPr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Obowiązek, o którym mowa w ust. 1 i 3, nie dotyczy: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czynności zamawiającego, w związku z postępowaniem o udzielenie zamówienia od chwili zamieszczenia ogłoszenia o postępowaniu lub skierowania zaproszenia do udziału </w:t>
      </w:r>
      <w:r w:rsidR="00E75667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w postępowaniu w trybie negocjacji, do chwili wyboru wykonawcy, o ile czynności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br/>
        <w:t>te podejmowane są w ramach prac komisji;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kontaktów mających charakter oficjalnej korespondencji dokonywanej w formie pisemnej lub realizowanej przy pomocy faksu albo służbowej poczty elektronicznej;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</w:t>
      </w:r>
      <w:r w:rsidR="00E75667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w ramach tej fazy, pisemnej notatce lub protokole spotkania, bądź też ich przebieg zostanie utrwalony za pomocą urządzeń i środków technicznych służących do utrwalania dźwięku albo obrazu i dźwięku;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kontaktów dotyczących jedynie zagadnień o charakterze organizacyjnoporządkowym;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kontaktów o charakterze wyłącznie towarzyskim, odbywających się poza godzinami pracy, </w:t>
      </w:r>
      <w:r w:rsidR="00CE51B0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w trakcie których nie poruszano żadnych kwestii służbowych;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prezentacji i pokazów organizowanych na podstawie § 11 ust. 5;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kontaktów realizowanych w celu wykonywania obowiązków przewidzianych w ustawie </w:t>
      </w:r>
      <w:r w:rsidR="00CE51B0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CE55CD" w:rsidRPr="00F13C9B" w:rsidRDefault="00CE55CD" w:rsidP="00E75667">
      <w:pPr>
        <w:numPr>
          <w:ilvl w:val="0"/>
          <w:numId w:val="48"/>
        </w:num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kontaktów realizowanych w celu wykonania obowiązków przewidzianych w przepisach decyzji </w:t>
      </w:r>
      <w:r w:rsidR="00CE51B0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w spawie zasad funkcjonowania systemu zapewnienia jakości wyrobów obronnych, o ile kontakty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br/>
        <w:t>te zostaną opisane w pisemnej notatce lub protokole spotkania, bądź też ich przebieg zostanie utrwalony za pomocą urządzeń i środków technicznych służących do utrwalania dźwięku albo obrazu i dźwięku.</w:t>
      </w:r>
    </w:p>
    <w:p w:rsidR="00CE55CD" w:rsidRPr="00B47055" w:rsidRDefault="00CE55CD" w:rsidP="00CE55CD">
      <w:pPr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 xml:space="preserve">W wewnętrznej sieci elektronicznej nie powinny być zamieszczane notatki sporządzane ze spotkań z wykonawcami, w przypadku gdyby podlegały one szczególnej ochronie przewidzianej w ustawie </w:t>
      </w:r>
      <w:r w:rsidR="00CE51B0">
        <w:rPr>
          <w:rFonts w:ascii="Arial" w:eastAsia="Calibri" w:hAnsi="Arial" w:cs="Arial"/>
          <w:sz w:val="20"/>
          <w:szCs w:val="20"/>
          <w:lang w:eastAsia="en-US"/>
        </w:rPr>
        <w:br/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o ochronie informacji niejawnych.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11</w:t>
      </w:r>
    </w:p>
    <w:p w:rsidR="00CE55CD" w:rsidRPr="00F13C9B" w:rsidRDefault="00CE55CD" w:rsidP="00CE51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Wykładnia postanowień decyzji</w:t>
      </w:r>
    </w:p>
    <w:p w:rsidR="00CE55CD" w:rsidRPr="00F13C9B" w:rsidRDefault="00CE55CD" w:rsidP="00CE55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b/>
          <w:bCs/>
          <w:sz w:val="20"/>
          <w:szCs w:val="20"/>
          <w:lang w:eastAsia="en-US"/>
        </w:rPr>
        <w:t>§ 15.</w:t>
      </w:r>
    </w:p>
    <w:p w:rsidR="00CE55CD" w:rsidRPr="00F13C9B" w:rsidRDefault="00CE55CD" w:rsidP="00CE51B0">
      <w:pPr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Podmioty zainteresowane mogą zwrócić się z pisemnym wnioskiem</w:t>
      </w:r>
      <w:r w:rsidR="00CE51B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do Dyrektora Biura do Spraw Procedur Antykorupcyjnych o wydanie pisemnej opinii w sprawie interpretacji postanowień zawartych w decyzji, zwanej dalej "opinią".</w:t>
      </w:r>
    </w:p>
    <w:p w:rsidR="00CE55CD" w:rsidRPr="00F13C9B" w:rsidRDefault="00CE55CD" w:rsidP="00CE51B0">
      <w:pPr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Podmiot wnioskujący może zastrzec we wniosku, o którym mowa w ust. 1, anonimizację danych osobowych.</w:t>
      </w:r>
    </w:p>
    <w:p w:rsidR="00CE55CD" w:rsidRPr="00F13C9B" w:rsidRDefault="00CE55CD" w:rsidP="00CE51B0">
      <w:pPr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Opinia ma charakter wiążący dla wszystkich komórek i jednostek organizacyjnych.</w:t>
      </w:r>
    </w:p>
    <w:p w:rsidR="00CE55CD" w:rsidRPr="00F13C9B" w:rsidRDefault="00CE55CD" w:rsidP="00CE51B0">
      <w:pPr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Dyrektor Biura do Spraw Procedur Antykorupcyjnych zamieszcza opinię</w:t>
      </w:r>
      <w:r w:rsidR="00CE51B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13C9B">
        <w:rPr>
          <w:rFonts w:ascii="Arial" w:eastAsia="Calibri" w:hAnsi="Arial" w:cs="Arial"/>
          <w:sz w:val="20"/>
          <w:szCs w:val="20"/>
          <w:lang w:eastAsia="en-US"/>
        </w:rPr>
        <w:t>w wewnętrznej sieci elektronicznej (intranet), w zakładce "kontakty z wykonawcami".</w:t>
      </w:r>
    </w:p>
    <w:p w:rsidR="00CE55CD" w:rsidRPr="00F13C9B" w:rsidRDefault="00CE55CD" w:rsidP="00CE51B0">
      <w:pPr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13C9B">
        <w:rPr>
          <w:rFonts w:ascii="Arial" w:eastAsia="Calibri" w:hAnsi="Arial" w:cs="Arial"/>
          <w:sz w:val="20"/>
          <w:szCs w:val="20"/>
          <w:lang w:eastAsia="en-US"/>
        </w:rPr>
        <w:t>Dyrektor Biura do Spraw Procedur Antykorupcyjnych może odmówić wydania opinii w sprawach, które były już przedmiotem rozstrzygnięcia lub, w których stan faktyczny ma charakter analogiczny do uprzednio opiniowanej sprawy.</w:t>
      </w:r>
    </w:p>
    <w:p w:rsidR="00CE55CD" w:rsidRPr="00F13C9B" w:rsidRDefault="00CE55CD" w:rsidP="00CE55CD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E55CD" w:rsidRPr="00A92525" w:rsidRDefault="00CE55CD" w:rsidP="00CE55CD">
      <w:pPr>
        <w:spacing w:after="200"/>
        <w:jc w:val="both"/>
        <w:rPr>
          <w:rFonts w:ascii="Arial" w:eastAsia="Calibri" w:hAnsi="Arial" w:cs="Arial"/>
          <w:lang w:eastAsia="en-US"/>
        </w:rPr>
      </w:pPr>
    </w:p>
    <w:p w:rsidR="00CE55CD" w:rsidRPr="00A92525" w:rsidRDefault="00CE55CD" w:rsidP="00CE55CD">
      <w:pPr>
        <w:spacing w:line="480" w:lineRule="auto"/>
        <w:jc w:val="both"/>
        <w:rPr>
          <w:rFonts w:ascii="Arial" w:hAnsi="Arial" w:cs="Arial"/>
        </w:rPr>
      </w:pPr>
    </w:p>
    <w:p w:rsidR="00CE55CD" w:rsidRPr="00A92525" w:rsidRDefault="00CE55CD" w:rsidP="00CE55CD">
      <w:pPr>
        <w:spacing w:line="480" w:lineRule="auto"/>
        <w:jc w:val="both"/>
        <w:rPr>
          <w:rFonts w:ascii="Arial" w:hAnsi="Arial" w:cs="Arial"/>
        </w:rPr>
      </w:pPr>
    </w:p>
    <w:p w:rsidR="00CE55CD" w:rsidRPr="00CE55CD" w:rsidRDefault="00CE55CD" w:rsidP="00CE55CD">
      <w:pPr>
        <w:tabs>
          <w:tab w:val="left" w:pos="3606"/>
        </w:tabs>
        <w:rPr>
          <w:rFonts w:ascii="Arial" w:hAnsi="Arial" w:cs="Arial"/>
          <w:sz w:val="20"/>
          <w:szCs w:val="20"/>
        </w:rPr>
      </w:pPr>
    </w:p>
    <w:sectPr w:rsidR="00CE55CD" w:rsidRPr="00CE55CD" w:rsidSect="00BB14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EB" w:rsidRDefault="00752CEB" w:rsidP="00283893">
      <w:r>
        <w:separator/>
      </w:r>
    </w:p>
  </w:endnote>
  <w:endnote w:type="continuationSeparator" w:id="0">
    <w:p w:rsidR="00752CEB" w:rsidRDefault="00752CEB" w:rsidP="0028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5C" w:rsidRDefault="00D10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3827"/>
      <w:docPartObj>
        <w:docPartGallery w:val="Page Numbers (Bottom of Page)"/>
        <w:docPartUnique/>
      </w:docPartObj>
    </w:sdtPr>
    <w:sdtEndPr/>
    <w:sdtContent>
      <w:p w:rsidR="003A6297" w:rsidRDefault="003A62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5C">
          <w:rPr>
            <w:noProof/>
          </w:rPr>
          <w:t>1</w:t>
        </w:r>
        <w:r>
          <w:fldChar w:fldCharType="end"/>
        </w:r>
      </w:p>
    </w:sdtContent>
  </w:sdt>
  <w:p w:rsidR="00283893" w:rsidRDefault="002838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5C" w:rsidRDefault="00D1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EB" w:rsidRDefault="00752CEB" w:rsidP="00283893">
      <w:r>
        <w:separator/>
      </w:r>
    </w:p>
  </w:footnote>
  <w:footnote w:type="continuationSeparator" w:id="0">
    <w:p w:rsidR="00752CEB" w:rsidRDefault="00752CEB" w:rsidP="0028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5C" w:rsidRDefault="00D10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5C" w:rsidRPr="006B09F5" w:rsidRDefault="00D1015C" w:rsidP="00D1015C">
    <w:pPr>
      <w:jc w:val="right"/>
      <w:rPr>
        <w:b/>
        <w:noProof/>
      </w:rPr>
    </w:pPr>
    <w:bookmarkStart w:id="0" w:name="_GoBack"/>
    <w:bookmarkEnd w:id="0"/>
    <w:r w:rsidRPr="006B09F5">
      <w:rPr>
        <w:rFonts w:ascii="Arial" w:hAnsi="Arial" w:cs="Arial"/>
        <w:b/>
      </w:rPr>
      <w:t>Załącznik nr 1 do zaproszenia</w:t>
    </w:r>
  </w:p>
  <w:p w:rsidR="00D1015C" w:rsidRPr="00D1015C" w:rsidRDefault="00D1015C" w:rsidP="00D101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5C" w:rsidRDefault="00D10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A76"/>
    <w:multiLevelType w:val="hybridMultilevel"/>
    <w:tmpl w:val="E3EC95EE"/>
    <w:lvl w:ilvl="0" w:tplc="E416C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65893"/>
    <w:multiLevelType w:val="hybridMultilevel"/>
    <w:tmpl w:val="CC324934"/>
    <w:lvl w:ilvl="0" w:tplc="D0FA7C3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10209"/>
    <w:multiLevelType w:val="hybridMultilevel"/>
    <w:tmpl w:val="A90EF9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331FD"/>
    <w:multiLevelType w:val="hybridMultilevel"/>
    <w:tmpl w:val="0C461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44DA5"/>
    <w:multiLevelType w:val="hybridMultilevel"/>
    <w:tmpl w:val="DA4A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1DF7"/>
    <w:multiLevelType w:val="hybridMultilevel"/>
    <w:tmpl w:val="A6BC1E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C187F"/>
    <w:multiLevelType w:val="hybridMultilevel"/>
    <w:tmpl w:val="F858D158"/>
    <w:lvl w:ilvl="0" w:tplc="BBC8A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 w15:restartNumberingAfterBreak="0">
    <w:nsid w:val="18553854"/>
    <w:multiLevelType w:val="hybridMultilevel"/>
    <w:tmpl w:val="A8148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F365A"/>
    <w:multiLevelType w:val="hybridMultilevel"/>
    <w:tmpl w:val="8FCE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75F99"/>
    <w:multiLevelType w:val="hybridMultilevel"/>
    <w:tmpl w:val="639E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81AE4"/>
    <w:multiLevelType w:val="hybridMultilevel"/>
    <w:tmpl w:val="92BCAC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725617"/>
    <w:multiLevelType w:val="hybridMultilevel"/>
    <w:tmpl w:val="5F7EE3FA"/>
    <w:lvl w:ilvl="0" w:tplc="F9E8C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0A2C"/>
    <w:multiLevelType w:val="hybridMultilevel"/>
    <w:tmpl w:val="C068E974"/>
    <w:lvl w:ilvl="0" w:tplc="5C9C28E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A3257"/>
    <w:multiLevelType w:val="hybridMultilevel"/>
    <w:tmpl w:val="E64EC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10187"/>
    <w:multiLevelType w:val="hybridMultilevel"/>
    <w:tmpl w:val="B1D0E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C26833"/>
    <w:multiLevelType w:val="hybridMultilevel"/>
    <w:tmpl w:val="86DE87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2248F3"/>
    <w:multiLevelType w:val="hybridMultilevel"/>
    <w:tmpl w:val="904E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3738"/>
    <w:multiLevelType w:val="hybridMultilevel"/>
    <w:tmpl w:val="2B66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513"/>
    <w:multiLevelType w:val="hybridMultilevel"/>
    <w:tmpl w:val="E9B4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04EB8"/>
    <w:multiLevelType w:val="hybridMultilevel"/>
    <w:tmpl w:val="8EA60A1A"/>
    <w:lvl w:ilvl="0" w:tplc="15F4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FE03D1"/>
    <w:multiLevelType w:val="hybridMultilevel"/>
    <w:tmpl w:val="E5521E1A"/>
    <w:lvl w:ilvl="0" w:tplc="4006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65924"/>
    <w:multiLevelType w:val="hybridMultilevel"/>
    <w:tmpl w:val="74740A22"/>
    <w:lvl w:ilvl="0" w:tplc="16E6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70944"/>
    <w:multiLevelType w:val="hybridMultilevel"/>
    <w:tmpl w:val="BD4ED022"/>
    <w:lvl w:ilvl="0" w:tplc="26283EAC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1287A"/>
    <w:multiLevelType w:val="hybridMultilevel"/>
    <w:tmpl w:val="1CE6EED8"/>
    <w:lvl w:ilvl="0" w:tplc="5396F9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9E156C"/>
    <w:multiLevelType w:val="hybridMultilevel"/>
    <w:tmpl w:val="A20C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0A4320">
      <w:start w:val="1"/>
      <w:numFmt w:val="decimal"/>
      <w:lvlText w:val="%2)"/>
      <w:lvlJc w:val="left"/>
      <w:pPr>
        <w:ind w:left="1440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E51B1"/>
    <w:multiLevelType w:val="hybridMultilevel"/>
    <w:tmpl w:val="1FD23A36"/>
    <w:lvl w:ilvl="0" w:tplc="8990E7E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F1FAF"/>
    <w:multiLevelType w:val="hybridMultilevel"/>
    <w:tmpl w:val="6B587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E82073"/>
    <w:multiLevelType w:val="hybridMultilevel"/>
    <w:tmpl w:val="0922AD96"/>
    <w:lvl w:ilvl="0" w:tplc="B0949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5681B"/>
    <w:multiLevelType w:val="hybridMultilevel"/>
    <w:tmpl w:val="57F0FA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88751E"/>
    <w:multiLevelType w:val="hybridMultilevel"/>
    <w:tmpl w:val="93629114"/>
    <w:lvl w:ilvl="0" w:tplc="AC68B140">
      <w:start w:val="1"/>
      <w:numFmt w:val="decimal"/>
      <w:lvlText w:val="%1)"/>
      <w:lvlJc w:val="left"/>
      <w:pPr>
        <w:ind w:left="1035" w:hanging="6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A36B9"/>
    <w:multiLevelType w:val="hybridMultilevel"/>
    <w:tmpl w:val="F1D884DA"/>
    <w:lvl w:ilvl="0" w:tplc="B47435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B6F60"/>
    <w:multiLevelType w:val="hybridMultilevel"/>
    <w:tmpl w:val="A8148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F453E"/>
    <w:multiLevelType w:val="hybridMultilevel"/>
    <w:tmpl w:val="236C40D0"/>
    <w:lvl w:ilvl="0" w:tplc="72F6A3B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9A97A56"/>
    <w:multiLevelType w:val="hybridMultilevel"/>
    <w:tmpl w:val="2B66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C23C4"/>
    <w:multiLevelType w:val="hybridMultilevel"/>
    <w:tmpl w:val="A372EEA2"/>
    <w:lvl w:ilvl="0" w:tplc="4D24F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46508"/>
    <w:multiLevelType w:val="hybridMultilevel"/>
    <w:tmpl w:val="904E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65AD3"/>
    <w:multiLevelType w:val="hybridMultilevel"/>
    <w:tmpl w:val="F296EEB6"/>
    <w:lvl w:ilvl="0" w:tplc="711CB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16F72"/>
    <w:multiLevelType w:val="hybridMultilevel"/>
    <w:tmpl w:val="05F27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356D438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B5C12"/>
    <w:multiLevelType w:val="hybridMultilevel"/>
    <w:tmpl w:val="F4F05E52"/>
    <w:lvl w:ilvl="0" w:tplc="9CB41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00A66"/>
    <w:multiLevelType w:val="hybridMultilevel"/>
    <w:tmpl w:val="27DC7D34"/>
    <w:lvl w:ilvl="0" w:tplc="9A3ED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071126E"/>
    <w:multiLevelType w:val="hybridMultilevel"/>
    <w:tmpl w:val="705CF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4774"/>
    <w:multiLevelType w:val="hybridMultilevel"/>
    <w:tmpl w:val="8EA60A1A"/>
    <w:lvl w:ilvl="0" w:tplc="15F4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D0978"/>
    <w:multiLevelType w:val="hybridMultilevel"/>
    <w:tmpl w:val="F3D8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E145E"/>
    <w:multiLevelType w:val="hybridMultilevel"/>
    <w:tmpl w:val="2ED4D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BF0E25"/>
    <w:multiLevelType w:val="hybridMultilevel"/>
    <w:tmpl w:val="74740A22"/>
    <w:lvl w:ilvl="0" w:tplc="16E6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F87609"/>
    <w:multiLevelType w:val="hybridMultilevel"/>
    <w:tmpl w:val="7B9473E8"/>
    <w:lvl w:ilvl="0" w:tplc="7960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814C1"/>
    <w:multiLevelType w:val="hybridMultilevel"/>
    <w:tmpl w:val="DCCC26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D1588B"/>
    <w:multiLevelType w:val="hybridMultilevel"/>
    <w:tmpl w:val="2CB21C16"/>
    <w:lvl w:ilvl="0" w:tplc="CF6C1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043F7"/>
    <w:multiLevelType w:val="hybridMultilevel"/>
    <w:tmpl w:val="146CE9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0"/>
  </w:num>
  <w:num w:numId="3">
    <w:abstractNumId w:val="34"/>
  </w:num>
  <w:num w:numId="4">
    <w:abstractNumId w:val="36"/>
  </w:num>
  <w:num w:numId="5">
    <w:abstractNumId w:val="8"/>
  </w:num>
  <w:num w:numId="6">
    <w:abstractNumId w:val="11"/>
  </w:num>
  <w:num w:numId="7">
    <w:abstractNumId w:val="24"/>
  </w:num>
  <w:num w:numId="8">
    <w:abstractNumId w:val="6"/>
  </w:num>
  <w:num w:numId="9">
    <w:abstractNumId w:val="29"/>
  </w:num>
  <w:num w:numId="10">
    <w:abstractNumId w:val="39"/>
  </w:num>
  <w:num w:numId="11">
    <w:abstractNumId w:val="44"/>
  </w:num>
  <w:num w:numId="12">
    <w:abstractNumId w:val="1"/>
  </w:num>
  <w:num w:numId="13">
    <w:abstractNumId w:val="30"/>
  </w:num>
  <w:num w:numId="14">
    <w:abstractNumId w:val="25"/>
  </w:num>
  <w:num w:numId="15">
    <w:abstractNumId w:val="19"/>
  </w:num>
  <w:num w:numId="16">
    <w:abstractNumId w:val="27"/>
  </w:num>
  <w:num w:numId="17">
    <w:abstractNumId w:val="12"/>
  </w:num>
  <w:num w:numId="18">
    <w:abstractNumId w:val="22"/>
  </w:num>
  <w:num w:numId="19">
    <w:abstractNumId w:val="41"/>
  </w:num>
  <w:num w:numId="20">
    <w:abstractNumId w:val="21"/>
  </w:num>
  <w:num w:numId="21">
    <w:abstractNumId w:val="10"/>
  </w:num>
  <w:num w:numId="22">
    <w:abstractNumId w:val="47"/>
  </w:num>
  <w:num w:numId="23">
    <w:abstractNumId w:val="13"/>
  </w:num>
  <w:num w:numId="24">
    <w:abstractNumId w:val="32"/>
  </w:num>
  <w:num w:numId="25">
    <w:abstractNumId w:val="0"/>
  </w:num>
  <w:num w:numId="26">
    <w:abstractNumId w:val="9"/>
  </w:num>
  <w:num w:numId="27">
    <w:abstractNumId w:val="48"/>
  </w:num>
  <w:num w:numId="28">
    <w:abstractNumId w:val="5"/>
  </w:num>
  <w:num w:numId="29">
    <w:abstractNumId w:val="37"/>
  </w:num>
  <w:num w:numId="30">
    <w:abstractNumId w:val="4"/>
  </w:num>
  <w:num w:numId="31">
    <w:abstractNumId w:val="33"/>
  </w:num>
  <w:num w:numId="32">
    <w:abstractNumId w:val="26"/>
  </w:num>
  <w:num w:numId="33">
    <w:abstractNumId w:val="2"/>
  </w:num>
  <w:num w:numId="34">
    <w:abstractNumId w:val="17"/>
  </w:num>
  <w:num w:numId="35">
    <w:abstractNumId w:val="35"/>
  </w:num>
  <w:num w:numId="36">
    <w:abstractNumId w:val="46"/>
  </w:num>
  <w:num w:numId="37">
    <w:abstractNumId w:val="28"/>
  </w:num>
  <w:num w:numId="38">
    <w:abstractNumId w:val="16"/>
  </w:num>
  <w:num w:numId="39">
    <w:abstractNumId w:val="31"/>
  </w:num>
  <w:num w:numId="40">
    <w:abstractNumId w:val="45"/>
  </w:num>
  <w:num w:numId="41">
    <w:abstractNumId w:val="43"/>
  </w:num>
  <w:num w:numId="42">
    <w:abstractNumId w:val="7"/>
  </w:num>
  <w:num w:numId="43">
    <w:abstractNumId w:val="40"/>
  </w:num>
  <w:num w:numId="44">
    <w:abstractNumId w:val="42"/>
  </w:num>
  <w:num w:numId="45">
    <w:abstractNumId w:val="14"/>
  </w:num>
  <w:num w:numId="46">
    <w:abstractNumId w:val="15"/>
  </w:num>
  <w:num w:numId="47">
    <w:abstractNumId w:val="18"/>
  </w:num>
  <w:num w:numId="48">
    <w:abstractNumId w:val="3"/>
  </w:num>
  <w:num w:numId="49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67"/>
    <w:rsid w:val="00003156"/>
    <w:rsid w:val="00006DD7"/>
    <w:rsid w:val="0000743C"/>
    <w:rsid w:val="00021AC7"/>
    <w:rsid w:val="00022963"/>
    <w:rsid w:val="00022C2E"/>
    <w:rsid w:val="00024CBE"/>
    <w:rsid w:val="00074291"/>
    <w:rsid w:val="00092E02"/>
    <w:rsid w:val="000B0E4E"/>
    <w:rsid w:val="000B514F"/>
    <w:rsid w:val="000B5E2C"/>
    <w:rsid w:val="000B6824"/>
    <w:rsid w:val="000B6D88"/>
    <w:rsid w:val="000C76F1"/>
    <w:rsid w:val="000D614B"/>
    <w:rsid w:val="000F3EDF"/>
    <w:rsid w:val="00114768"/>
    <w:rsid w:val="0012001F"/>
    <w:rsid w:val="00143098"/>
    <w:rsid w:val="0016116A"/>
    <w:rsid w:val="001667B2"/>
    <w:rsid w:val="00180BBC"/>
    <w:rsid w:val="001B56CE"/>
    <w:rsid w:val="001D3EC1"/>
    <w:rsid w:val="002076E1"/>
    <w:rsid w:val="00210511"/>
    <w:rsid w:val="00217DF6"/>
    <w:rsid w:val="0023107D"/>
    <w:rsid w:val="00234DB6"/>
    <w:rsid w:val="00240084"/>
    <w:rsid w:val="002506CB"/>
    <w:rsid w:val="00283893"/>
    <w:rsid w:val="00284BFD"/>
    <w:rsid w:val="00284D67"/>
    <w:rsid w:val="00284EB7"/>
    <w:rsid w:val="0029101A"/>
    <w:rsid w:val="002913AC"/>
    <w:rsid w:val="002A6187"/>
    <w:rsid w:val="002B0263"/>
    <w:rsid w:val="002B1398"/>
    <w:rsid w:val="002C14A4"/>
    <w:rsid w:val="002C29D7"/>
    <w:rsid w:val="002E72F6"/>
    <w:rsid w:val="00301DE0"/>
    <w:rsid w:val="00331BED"/>
    <w:rsid w:val="00332C4E"/>
    <w:rsid w:val="00335E57"/>
    <w:rsid w:val="003372B5"/>
    <w:rsid w:val="003409BF"/>
    <w:rsid w:val="003431F4"/>
    <w:rsid w:val="00350465"/>
    <w:rsid w:val="003551D5"/>
    <w:rsid w:val="00384FFB"/>
    <w:rsid w:val="00394A4A"/>
    <w:rsid w:val="003A6297"/>
    <w:rsid w:val="003B1620"/>
    <w:rsid w:val="003B6171"/>
    <w:rsid w:val="003C3FC6"/>
    <w:rsid w:val="003E0125"/>
    <w:rsid w:val="003F0D1C"/>
    <w:rsid w:val="003F1A79"/>
    <w:rsid w:val="003F70A8"/>
    <w:rsid w:val="00411A07"/>
    <w:rsid w:val="00423382"/>
    <w:rsid w:val="00443D38"/>
    <w:rsid w:val="00470268"/>
    <w:rsid w:val="00480F77"/>
    <w:rsid w:val="004964FF"/>
    <w:rsid w:val="004C3C2F"/>
    <w:rsid w:val="004F306E"/>
    <w:rsid w:val="005209DC"/>
    <w:rsid w:val="00522AA1"/>
    <w:rsid w:val="005473C9"/>
    <w:rsid w:val="005771BC"/>
    <w:rsid w:val="00593E42"/>
    <w:rsid w:val="005A19AE"/>
    <w:rsid w:val="005A6F5D"/>
    <w:rsid w:val="005C17F2"/>
    <w:rsid w:val="005C2066"/>
    <w:rsid w:val="005C3F04"/>
    <w:rsid w:val="005E5B17"/>
    <w:rsid w:val="00613DA5"/>
    <w:rsid w:val="006162C4"/>
    <w:rsid w:val="00640EFA"/>
    <w:rsid w:val="00667401"/>
    <w:rsid w:val="00684C2B"/>
    <w:rsid w:val="006A165F"/>
    <w:rsid w:val="006C4D28"/>
    <w:rsid w:val="006D1194"/>
    <w:rsid w:val="006D7385"/>
    <w:rsid w:val="006E0DBC"/>
    <w:rsid w:val="006F540F"/>
    <w:rsid w:val="0070166A"/>
    <w:rsid w:val="00706B75"/>
    <w:rsid w:val="00710E0C"/>
    <w:rsid w:val="00723846"/>
    <w:rsid w:val="00734B62"/>
    <w:rsid w:val="00745409"/>
    <w:rsid w:val="007529F8"/>
    <w:rsid w:val="00752CEB"/>
    <w:rsid w:val="0076709A"/>
    <w:rsid w:val="0077210B"/>
    <w:rsid w:val="00781E7F"/>
    <w:rsid w:val="00782ECE"/>
    <w:rsid w:val="007967AA"/>
    <w:rsid w:val="007A1553"/>
    <w:rsid w:val="007A2DD9"/>
    <w:rsid w:val="007A638C"/>
    <w:rsid w:val="007C48E7"/>
    <w:rsid w:val="007C67A6"/>
    <w:rsid w:val="007D69DB"/>
    <w:rsid w:val="007F3B5F"/>
    <w:rsid w:val="007F4A50"/>
    <w:rsid w:val="00804E61"/>
    <w:rsid w:val="00836796"/>
    <w:rsid w:val="00841F04"/>
    <w:rsid w:val="008570E9"/>
    <w:rsid w:val="008622B2"/>
    <w:rsid w:val="00862701"/>
    <w:rsid w:val="00873FC7"/>
    <w:rsid w:val="008802C6"/>
    <w:rsid w:val="008A2C90"/>
    <w:rsid w:val="008A5E3D"/>
    <w:rsid w:val="008D19D0"/>
    <w:rsid w:val="008E5AC5"/>
    <w:rsid w:val="008F211F"/>
    <w:rsid w:val="00925B0E"/>
    <w:rsid w:val="00933D16"/>
    <w:rsid w:val="00936F0A"/>
    <w:rsid w:val="009373FB"/>
    <w:rsid w:val="0096022A"/>
    <w:rsid w:val="00971D33"/>
    <w:rsid w:val="0097256E"/>
    <w:rsid w:val="00981625"/>
    <w:rsid w:val="00992547"/>
    <w:rsid w:val="0099387D"/>
    <w:rsid w:val="00994272"/>
    <w:rsid w:val="00994BEA"/>
    <w:rsid w:val="009A2DD7"/>
    <w:rsid w:val="009A52F1"/>
    <w:rsid w:val="009A6EA6"/>
    <w:rsid w:val="009B1510"/>
    <w:rsid w:val="009C1C6C"/>
    <w:rsid w:val="009C3257"/>
    <w:rsid w:val="009D5DCD"/>
    <w:rsid w:val="009D5EB2"/>
    <w:rsid w:val="009E06D6"/>
    <w:rsid w:val="00A13CFC"/>
    <w:rsid w:val="00A1741A"/>
    <w:rsid w:val="00A2199D"/>
    <w:rsid w:val="00A23E8E"/>
    <w:rsid w:val="00A4169C"/>
    <w:rsid w:val="00A46897"/>
    <w:rsid w:val="00A52709"/>
    <w:rsid w:val="00A5274C"/>
    <w:rsid w:val="00A5498A"/>
    <w:rsid w:val="00A556F2"/>
    <w:rsid w:val="00A74279"/>
    <w:rsid w:val="00A914AF"/>
    <w:rsid w:val="00A953DD"/>
    <w:rsid w:val="00A9723F"/>
    <w:rsid w:val="00AC71B1"/>
    <w:rsid w:val="00AD0EE6"/>
    <w:rsid w:val="00AE1F6E"/>
    <w:rsid w:val="00AE234D"/>
    <w:rsid w:val="00AE4A8D"/>
    <w:rsid w:val="00B03E30"/>
    <w:rsid w:val="00B175EB"/>
    <w:rsid w:val="00B31D13"/>
    <w:rsid w:val="00B47055"/>
    <w:rsid w:val="00B50B22"/>
    <w:rsid w:val="00B54B5B"/>
    <w:rsid w:val="00B81807"/>
    <w:rsid w:val="00B90767"/>
    <w:rsid w:val="00BA40A8"/>
    <w:rsid w:val="00BB140E"/>
    <w:rsid w:val="00BC37C3"/>
    <w:rsid w:val="00BC44CD"/>
    <w:rsid w:val="00BE3C96"/>
    <w:rsid w:val="00BF1683"/>
    <w:rsid w:val="00C01827"/>
    <w:rsid w:val="00C02DE2"/>
    <w:rsid w:val="00C10B3E"/>
    <w:rsid w:val="00C24712"/>
    <w:rsid w:val="00C32384"/>
    <w:rsid w:val="00C361DF"/>
    <w:rsid w:val="00C40762"/>
    <w:rsid w:val="00C40F69"/>
    <w:rsid w:val="00C471B0"/>
    <w:rsid w:val="00C57A24"/>
    <w:rsid w:val="00C63BAF"/>
    <w:rsid w:val="00C70D68"/>
    <w:rsid w:val="00C720BC"/>
    <w:rsid w:val="00C74498"/>
    <w:rsid w:val="00C92851"/>
    <w:rsid w:val="00CA0E7D"/>
    <w:rsid w:val="00CE51B0"/>
    <w:rsid w:val="00CE55CD"/>
    <w:rsid w:val="00CE6BFB"/>
    <w:rsid w:val="00CF4F8D"/>
    <w:rsid w:val="00CF7A59"/>
    <w:rsid w:val="00D1015C"/>
    <w:rsid w:val="00D14DD1"/>
    <w:rsid w:val="00D31FDE"/>
    <w:rsid w:val="00D32626"/>
    <w:rsid w:val="00D37FC9"/>
    <w:rsid w:val="00D4610C"/>
    <w:rsid w:val="00D464A1"/>
    <w:rsid w:val="00D47469"/>
    <w:rsid w:val="00D93E90"/>
    <w:rsid w:val="00D958D4"/>
    <w:rsid w:val="00DA3565"/>
    <w:rsid w:val="00DC0ED6"/>
    <w:rsid w:val="00DC19A1"/>
    <w:rsid w:val="00DD6775"/>
    <w:rsid w:val="00DE465A"/>
    <w:rsid w:val="00E0175C"/>
    <w:rsid w:val="00E22AFA"/>
    <w:rsid w:val="00E4309A"/>
    <w:rsid w:val="00E43157"/>
    <w:rsid w:val="00E504AB"/>
    <w:rsid w:val="00E5219D"/>
    <w:rsid w:val="00E538E6"/>
    <w:rsid w:val="00E6127E"/>
    <w:rsid w:val="00E673E9"/>
    <w:rsid w:val="00E75667"/>
    <w:rsid w:val="00E75689"/>
    <w:rsid w:val="00E90199"/>
    <w:rsid w:val="00E97B3D"/>
    <w:rsid w:val="00EC3914"/>
    <w:rsid w:val="00EC6824"/>
    <w:rsid w:val="00ED6626"/>
    <w:rsid w:val="00EE7DF7"/>
    <w:rsid w:val="00F01251"/>
    <w:rsid w:val="00F13C9B"/>
    <w:rsid w:val="00F279D8"/>
    <w:rsid w:val="00F517E8"/>
    <w:rsid w:val="00F55090"/>
    <w:rsid w:val="00F57D87"/>
    <w:rsid w:val="00F612D4"/>
    <w:rsid w:val="00F63633"/>
    <w:rsid w:val="00F810B6"/>
    <w:rsid w:val="00F84435"/>
    <w:rsid w:val="00FA13D7"/>
    <w:rsid w:val="00FA6E81"/>
    <w:rsid w:val="00FB28F2"/>
    <w:rsid w:val="00FC3BA7"/>
    <w:rsid w:val="00FC787D"/>
    <w:rsid w:val="00FD2945"/>
    <w:rsid w:val="00FE0785"/>
    <w:rsid w:val="00FF1E96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87DD5"/>
  <w15:docId w15:val="{098633D2-3016-461B-B69F-6EA4712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7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3565"/>
    <w:pPr>
      <w:keepNext/>
      <w:outlineLvl w:val="0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3565"/>
    <w:pPr>
      <w:keepNext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4F30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D8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B90767"/>
    <w:pPr>
      <w:jc w:val="both"/>
    </w:pPr>
  </w:style>
  <w:style w:type="character" w:customStyle="1" w:styleId="Tekstpodstawowy3Znak">
    <w:name w:val="Tekst podstawowy 3 Znak"/>
    <w:link w:val="Tekstpodstawowy3"/>
    <w:rsid w:val="00B907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82ECE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7A638C"/>
    <w:rPr>
      <w:color w:val="0000FF"/>
      <w:u w:val="single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7A6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45409"/>
    <w:pPr>
      <w:spacing w:after="120"/>
    </w:pPr>
  </w:style>
  <w:style w:type="character" w:customStyle="1" w:styleId="TekstpodstawowyZnak">
    <w:name w:val="Tekst podstawowy Znak"/>
    <w:link w:val="Tekstpodstawowy"/>
    <w:rsid w:val="007454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09DC"/>
    <w:pPr>
      <w:ind w:left="225"/>
    </w:pPr>
  </w:style>
  <w:style w:type="paragraph" w:customStyle="1" w:styleId="khheader">
    <w:name w:val="kh_header"/>
    <w:basedOn w:val="Normalny"/>
    <w:rsid w:val="005209DC"/>
    <w:pPr>
      <w:spacing w:line="420" w:lineRule="atLeast"/>
      <w:ind w:left="225"/>
      <w:jc w:val="center"/>
    </w:pPr>
    <w:rPr>
      <w:sz w:val="28"/>
      <w:szCs w:val="28"/>
    </w:rPr>
  </w:style>
  <w:style w:type="paragraph" w:customStyle="1" w:styleId="khtitle">
    <w:name w:val="kh_title"/>
    <w:basedOn w:val="Normalny"/>
    <w:rsid w:val="005209DC"/>
    <w:pPr>
      <w:spacing w:before="375" w:after="225"/>
    </w:pPr>
    <w:rPr>
      <w:b/>
      <w:bCs/>
      <w:u w:val="single"/>
    </w:rPr>
  </w:style>
  <w:style w:type="paragraph" w:customStyle="1" w:styleId="bold">
    <w:name w:val="bold"/>
    <w:basedOn w:val="Normalny"/>
    <w:rsid w:val="005209DC"/>
    <w:pPr>
      <w:ind w:left="225"/>
    </w:pPr>
    <w:rPr>
      <w:b/>
      <w:bCs/>
    </w:rPr>
  </w:style>
  <w:style w:type="paragraph" w:customStyle="1" w:styleId="justify">
    <w:name w:val="justify"/>
    <w:basedOn w:val="Normalny"/>
    <w:rsid w:val="005209DC"/>
    <w:pPr>
      <w:ind w:left="225"/>
      <w:jc w:val="both"/>
    </w:pPr>
  </w:style>
  <w:style w:type="character" w:customStyle="1" w:styleId="bold1">
    <w:name w:val="bold1"/>
    <w:rsid w:val="005209DC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356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A35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DA356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link w:val="Nagwek4"/>
    <w:semiHidden/>
    <w:rsid w:val="00DA35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FA13D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FA13D7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uiPriority w:val="9"/>
    <w:semiHidden/>
    <w:rsid w:val="000B6D88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19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DC19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19A1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DC19A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6Znak">
    <w:name w:val="Nagłówek 6 Znak"/>
    <w:link w:val="Nagwek6"/>
    <w:rsid w:val="004F306E"/>
    <w:rPr>
      <w:rFonts w:eastAsia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3893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3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389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38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38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F0D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5A19AE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F01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3C14-1545-4ACB-BCD3-4F3B94901B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1108EF-38EB-478B-9542-68B336AC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2729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katarzynatrebas</dc:creator>
  <cp:lastModifiedBy>Majdan Marta</cp:lastModifiedBy>
  <cp:revision>5</cp:revision>
  <cp:lastPrinted>2024-12-17T14:08:00Z</cp:lastPrinted>
  <dcterms:created xsi:type="dcterms:W3CDTF">2024-12-17T13:43:00Z</dcterms:created>
  <dcterms:modified xsi:type="dcterms:W3CDTF">2024-12-17T14:09:00Z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226a85c6-c9e6-493c-8765-674abb601321</vt:lpwstr>
  </property>
  <property fmtid="{D5CDD505-2E9C-101B-9397-08002B2CF9AE}" pid="3" name="bjSaver">
    <vt:lpwstr>9oAZFsGehtJy6rvHLhKQmk31Z1zTn2x2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katarzynatrebas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10.90.81.187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