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8017" w14:textId="657CE50C" w:rsidR="006F65E7" w:rsidRPr="00C01E75" w:rsidRDefault="00C01E75" w:rsidP="00C01E7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01E75">
        <w:rPr>
          <w:rFonts w:ascii="Arial" w:hAnsi="Arial" w:cs="Arial"/>
          <w:b/>
          <w:bCs/>
          <w:sz w:val="40"/>
          <w:szCs w:val="40"/>
        </w:rPr>
        <w:t>OPIS PRZEDMIOTU ZAMÓWIENIA</w:t>
      </w:r>
    </w:p>
    <w:p w14:paraId="4BA7F096" w14:textId="5902F2CF" w:rsidR="00C01E75" w:rsidRPr="00C01E75" w:rsidRDefault="00A86702" w:rsidP="00C01E7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Rozbudowa systemu łączności radiowej </w:t>
      </w:r>
      <w:proofErr w:type="spellStart"/>
      <w:r>
        <w:rPr>
          <w:rFonts w:ascii="Arial" w:hAnsi="Arial" w:cs="Arial"/>
          <w:sz w:val="40"/>
          <w:szCs w:val="40"/>
        </w:rPr>
        <w:t>Multikom</w:t>
      </w:r>
      <w:proofErr w:type="spellEnd"/>
    </w:p>
    <w:p w14:paraId="08BA54E5" w14:textId="77777777" w:rsidR="00C01E75" w:rsidRDefault="00C01E75" w:rsidP="00C01E75">
      <w:pPr>
        <w:jc w:val="center"/>
        <w:rPr>
          <w:rFonts w:ascii="Arial" w:hAnsi="Arial" w:cs="Arial"/>
          <w:sz w:val="32"/>
          <w:szCs w:val="32"/>
        </w:rPr>
      </w:pPr>
    </w:p>
    <w:p w14:paraId="0E19E32A" w14:textId="2C85CAEF" w:rsidR="00C01E75" w:rsidRDefault="00C01E75" w:rsidP="00C01E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zamówienia jest dostawa </w:t>
      </w:r>
      <w:r w:rsidR="00A86702">
        <w:rPr>
          <w:rFonts w:ascii="Arial" w:hAnsi="Arial" w:cs="Arial"/>
          <w:sz w:val="24"/>
          <w:szCs w:val="24"/>
        </w:rPr>
        <w:t xml:space="preserve">sprzętu łączności radiowej wraz z montażem, uruchomieniem i konfiguracją </w:t>
      </w:r>
    </w:p>
    <w:p w14:paraId="1C6E1734" w14:textId="77777777" w:rsidR="00C01E75" w:rsidRDefault="00C01E75" w:rsidP="00C01E7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3"/>
        <w:gridCol w:w="4668"/>
        <w:gridCol w:w="2871"/>
      </w:tblGrid>
      <w:tr w:rsidR="00C01E75" w14:paraId="3E7D5825" w14:textId="77777777" w:rsidTr="00A86702">
        <w:tc>
          <w:tcPr>
            <w:tcW w:w="1523" w:type="dxa"/>
          </w:tcPr>
          <w:p w14:paraId="6696B452" w14:textId="3B12D6F4" w:rsidR="00C01E75" w:rsidRPr="00C01E75" w:rsidRDefault="00C01E75" w:rsidP="00C01E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E75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668" w:type="dxa"/>
          </w:tcPr>
          <w:p w14:paraId="3E908B26" w14:textId="01B24CCA" w:rsidR="00C01E75" w:rsidRPr="00C01E75" w:rsidRDefault="00C01E75" w:rsidP="00C01E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E75">
              <w:rPr>
                <w:rFonts w:ascii="Arial" w:hAnsi="Arial" w:cs="Arial"/>
                <w:b/>
                <w:bCs/>
                <w:sz w:val="24"/>
                <w:szCs w:val="24"/>
              </w:rPr>
              <w:t>Wymagania Zamawiającego</w:t>
            </w:r>
          </w:p>
        </w:tc>
        <w:tc>
          <w:tcPr>
            <w:tcW w:w="2871" w:type="dxa"/>
          </w:tcPr>
          <w:p w14:paraId="4A371715" w14:textId="5FA9936E" w:rsidR="00C01E75" w:rsidRPr="00C01E75" w:rsidRDefault="00C01E75" w:rsidP="00C01E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E75">
              <w:rPr>
                <w:rFonts w:ascii="Arial" w:hAnsi="Arial" w:cs="Arial"/>
                <w:b/>
                <w:bCs/>
                <w:sz w:val="24"/>
                <w:szCs w:val="24"/>
              </w:rPr>
              <w:t>Potwierdzenie spełnienia wymagań – wypełnia wykonawca</w:t>
            </w:r>
          </w:p>
        </w:tc>
      </w:tr>
      <w:tr w:rsidR="00C01E75" w14:paraId="11975E4E" w14:textId="77777777" w:rsidTr="00C01E75">
        <w:tc>
          <w:tcPr>
            <w:tcW w:w="9062" w:type="dxa"/>
            <w:gridSpan w:val="3"/>
            <w:shd w:val="clear" w:color="auto" w:fill="BFBFBF" w:themeFill="background1" w:themeFillShade="BF"/>
          </w:tcPr>
          <w:p w14:paraId="47F809A8" w14:textId="7DC80DFA" w:rsidR="00C01E75" w:rsidRPr="00C01E75" w:rsidRDefault="00A86702" w:rsidP="00C01E7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Sprzęt łączności składający się z poniższego sprzętu:</w:t>
            </w:r>
          </w:p>
        </w:tc>
      </w:tr>
      <w:tr w:rsidR="00A86702" w14:paraId="0E51CD67" w14:textId="77777777" w:rsidTr="00A86702">
        <w:tc>
          <w:tcPr>
            <w:tcW w:w="1523" w:type="dxa"/>
          </w:tcPr>
          <w:p w14:paraId="77099BDE" w14:textId="4B3FFDA8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668" w:type="dxa"/>
          </w:tcPr>
          <w:p w14:paraId="46AD8311" w14:textId="64F28E38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02">
              <w:rPr>
                <w:rFonts w:ascii="Arial" w:hAnsi="Arial" w:cs="Arial"/>
                <w:sz w:val="24"/>
                <w:szCs w:val="24"/>
              </w:rPr>
              <w:t xml:space="preserve">Szafa </w:t>
            </w:r>
            <w:proofErr w:type="spellStart"/>
            <w:r w:rsidRPr="00A86702">
              <w:rPr>
                <w:rFonts w:ascii="Arial" w:hAnsi="Arial" w:cs="Arial"/>
                <w:sz w:val="24"/>
                <w:szCs w:val="24"/>
              </w:rPr>
              <w:t>rack</w:t>
            </w:r>
            <w:proofErr w:type="spellEnd"/>
            <w:r w:rsidRPr="00A86702">
              <w:rPr>
                <w:rFonts w:ascii="Arial" w:hAnsi="Arial" w:cs="Arial"/>
                <w:sz w:val="24"/>
                <w:szCs w:val="24"/>
              </w:rPr>
              <w:t xml:space="preserve"> 19”, min. 9U, zasilacz buforowy DC12V min. 150W w obudowie </w:t>
            </w:r>
            <w:proofErr w:type="spellStart"/>
            <w:r w:rsidRPr="00A86702">
              <w:rPr>
                <w:rFonts w:ascii="Arial" w:hAnsi="Arial" w:cs="Arial"/>
                <w:sz w:val="24"/>
                <w:szCs w:val="24"/>
              </w:rPr>
              <w:t>Rack</w:t>
            </w:r>
            <w:proofErr w:type="spellEnd"/>
            <w:r w:rsidRPr="00A86702">
              <w:rPr>
                <w:rFonts w:ascii="Arial" w:hAnsi="Arial" w:cs="Arial"/>
                <w:sz w:val="24"/>
                <w:szCs w:val="24"/>
              </w:rPr>
              <w:t xml:space="preserve"> 1U, ochronniki (antenowy + 230V T1+T2), licznik energii</w:t>
            </w:r>
          </w:p>
        </w:tc>
        <w:tc>
          <w:tcPr>
            <w:tcW w:w="2871" w:type="dxa"/>
          </w:tcPr>
          <w:p w14:paraId="098A00EA" w14:textId="4F30E8B4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  <w:tr w:rsidR="00A86702" w14:paraId="3967B8D8" w14:textId="77777777" w:rsidTr="00A86702">
        <w:tc>
          <w:tcPr>
            <w:tcW w:w="1523" w:type="dxa"/>
          </w:tcPr>
          <w:p w14:paraId="7341AB53" w14:textId="4142A6A0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668" w:type="dxa"/>
          </w:tcPr>
          <w:p w14:paraId="39569739" w14:textId="3038F735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02">
              <w:rPr>
                <w:rFonts w:ascii="Arial" w:hAnsi="Arial" w:cs="Arial"/>
                <w:sz w:val="24"/>
                <w:szCs w:val="24"/>
              </w:rPr>
              <w:t>Akumulator 45Ah</w:t>
            </w:r>
          </w:p>
        </w:tc>
        <w:tc>
          <w:tcPr>
            <w:tcW w:w="2871" w:type="dxa"/>
          </w:tcPr>
          <w:p w14:paraId="49F43A27" w14:textId="2DF9BC37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  <w:tr w:rsidR="00A86702" w14:paraId="138AC85A" w14:textId="77777777" w:rsidTr="00A86702">
        <w:tc>
          <w:tcPr>
            <w:tcW w:w="1523" w:type="dxa"/>
          </w:tcPr>
          <w:p w14:paraId="5B2B05AB" w14:textId="78A1AFE9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668" w:type="dxa"/>
          </w:tcPr>
          <w:p w14:paraId="1C854ABD" w14:textId="0A9BABEE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02">
              <w:rPr>
                <w:rFonts w:ascii="Arial" w:hAnsi="Arial" w:cs="Arial"/>
                <w:sz w:val="24"/>
                <w:szCs w:val="24"/>
              </w:rPr>
              <w:t>Radiotelefon Motorola DM4600e z Option Board</w:t>
            </w:r>
          </w:p>
        </w:tc>
        <w:tc>
          <w:tcPr>
            <w:tcW w:w="2871" w:type="dxa"/>
          </w:tcPr>
          <w:p w14:paraId="4090F16D" w14:textId="60B64D44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  <w:tr w:rsidR="00A86702" w14:paraId="4A4EF9CE" w14:textId="77777777" w:rsidTr="00A86702">
        <w:tc>
          <w:tcPr>
            <w:tcW w:w="1523" w:type="dxa"/>
          </w:tcPr>
          <w:p w14:paraId="4E34F1CC" w14:textId="356DADB3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668" w:type="dxa"/>
          </w:tcPr>
          <w:p w14:paraId="602CF56D" w14:textId="15A04783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02">
              <w:rPr>
                <w:rFonts w:ascii="Arial" w:hAnsi="Arial" w:cs="Arial"/>
                <w:sz w:val="24"/>
                <w:szCs w:val="24"/>
              </w:rPr>
              <w:t xml:space="preserve">Kontroler </w:t>
            </w:r>
            <w:proofErr w:type="spellStart"/>
            <w:r w:rsidRPr="00A86702">
              <w:rPr>
                <w:rFonts w:ascii="Arial" w:hAnsi="Arial" w:cs="Arial"/>
                <w:sz w:val="24"/>
                <w:szCs w:val="24"/>
              </w:rPr>
              <w:t>Minikom</w:t>
            </w:r>
            <w:proofErr w:type="spellEnd"/>
            <w:r w:rsidRPr="00A86702">
              <w:rPr>
                <w:rFonts w:ascii="Arial" w:hAnsi="Arial" w:cs="Arial"/>
                <w:sz w:val="24"/>
                <w:szCs w:val="24"/>
              </w:rPr>
              <w:t xml:space="preserve"> IP</w:t>
            </w:r>
          </w:p>
        </w:tc>
        <w:tc>
          <w:tcPr>
            <w:tcW w:w="2871" w:type="dxa"/>
          </w:tcPr>
          <w:p w14:paraId="37D03A07" w14:textId="4CBF07E3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  <w:tr w:rsidR="00A86702" w14:paraId="149429D5" w14:textId="77777777" w:rsidTr="00A86702">
        <w:tc>
          <w:tcPr>
            <w:tcW w:w="1523" w:type="dxa"/>
          </w:tcPr>
          <w:p w14:paraId="07EE38E7" w14:textId="0394C3BB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668" w:type="dxa"/>
          </w:tcPr>
          <w:p w14:paraId="5909A426" w14:textId="6C91ECE2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02">
              <w:rPr>
                <w:rFonts w:ascii="Arial" w:hAnsi="Arial" w:cs="Arial"/>
                <w:sz w:val="24"/>
                <w:szCs w:val="24"/>
              </w:rPr>
              <w:t>Antena dookólna Procom CXL2-3LW/L</w:t>
            </w:r>
          </w:p>
        </w:tc>
        <w:tc>
          <w:tcPr>
            <w:tcW w:w="2871" w:type="dxa"/>
          </w:tcPr>
          <w:p w14:paraId="61EB226A" w14:textId="579E75AA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  <w:tr w:rsidR="00A86702" w14:paraId="666719C9" w14:textId="77777777" w:rsidTr="00A86702">
        <w:tc>
          <w:tcPr>
            <w:tcW w:w="1523" w:type="dxa"/>
          </w:tcPr>
          <w:p w14:paraId="0D33184D" w14:textId="35E06C23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4668" w:type="dxa"/>
          </w:tcPr>
          <w:p w14:paraId="7C37F512" w14:textId="57FE950A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02">
              <w:rPr>
                <w:rFonts w:ascii="Arial" w:hAnsi="Arial" w:cs="Arial"/>
                <w:sz w:val="24"/>
                <w:szCs w:val="24"/>
              </w:rPr>
              <w:t xml:space="preserve">Maszt antenowy h=2m aluminiowy z uchwytem, </w:t>
            </w:r>
            <w:proofErr w:type="spellStart"/>
            <w:r w:rsidRPr="00A86702">
              <w:rPr>
                <w:rFonts w:ascii="Arial" w:hAnsi="Arial" w:cs="Arial"/>
                <w:sz w:val="24"/>
                <w:szCs w:val="24"/>
              </w:rPr>
              <w:t>feeder</w:t>
            </w:r>
            <w:proofErr w:type="spellEnd"/>
            <w:r w:rsidRPr="00A86702">
              <w:rPr>
                <w:rFonts w:ascii="Arial" w:hAnsi="Arial" w:cs="Arial"/>
                <w:sz w:val="24"/>
                <w:szCs w:val="24"/>
              </w:rPr>
              <w:t xml:space="preserve"> 11mm, uchwyty, opaska uziemiająca, złącza N</w:t>
            </w:r>
          </w:p>
        </w:tc>
        <w:tc>
          <w:tcPr>
            <w:tcW w:w="2871" w:type="dxa"/>
          </w:tcPr>
          <w:p w14:paraId="09C1AF19" w14:textId="7514F1AB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  <w:tr w:rsidR="00A86702" w14:paraId="6423245F" w14:textId="77777777" w:rsidTr="00A86702">
        <w:tc>
          <w:tcPr>
            <w:tcW w:w="1523" w:type="dxa"/>
          </w:tcPr>
          <w:p w14:paraId="0CAF8714" w14:textId="653733C4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4668" w:type="dxa"/>
          </w:tcPr>
          <w:p w14:paraId="44DDAF21" w14:textId="3C9B8571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02">
              <w:rPr>
                <w:rFonts w:ascii="Arial" w:hAnsi="Arial" w:cs="Arial"/>
                <w:sz w:val="24"/>
                <w:szCs w:val="24"/>
              </w:rPr>
              <w:t>Przepust dachowy szczelny</w:t>
            </w:r>
          </w:p>
        </w:tc>
        <w:tc>
          <w:tcPr>
            <w:tcW w:w="2871" w:type="dxa"/>
          </w:tcPr>
          <w:p w14:paraId="07946CEB" w14:textId="37D2AD8F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Spełnia / nie spełnia </w:t>
            </w:r>
          </w:p>
        </w:tc>
      </w:tr>
      <w:tr w:rsidR="00A86702" w14:paraId="6D9659F2" w14:textId="77777777" w:rsidTr="00A86702">
        <w:tc>
          <w:tcPr>
            <w:tcW w:w="1523" w:type="dxa"/>
          </w:tcPr>
          <w:p w14:paraId="4A8C91C1" w14:textId="59F90A83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4668" w:type="dxa"/>
          </w:tcPr>
          <w:p w14:paraId="0DC087DC" w14:textId="499526CA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02">
              <w:rPr>
                <w:rFonts w:ascii="Arial" w:hAnsi="Arial" w:cs="Arial"/>
                <w:sz w:val="24"/>
                <w:szCs w:val="24"/>
              </w:rPr>
              <w:t xml:space="preserve">Router </w:t>
            </w:r>
            <w:proofErr w:type="spellStart"/>
            <w:r w:rsidRPr="00A86702">
              <w:rPr>
                <w:rFonts w:ascii="Arial" w:hAnsi="Arial" w:cs="Arial"/>
                <w:sz w:val="24"/>
                <w:szCs w:val="24"/>
              </w:rPr>
              <w:t>Mikrotik</w:t>
            </w:r>
            <w:proofErr w:type="spellEnd"/>
            <w:r w:rsidRPr="00A86702">
              <w:rPr>
                <w:rFonts w:ascii="Arial" w:hAnsi="Arial" w:cs="Arial"/>
                <w:sz w:val="24"/>
                <w:szCs w:val="24"/>
              </w:rPr>
              <w:t xml:space="preserve"> L009 + modem SXT LTE6</w:t>
            </w:r>
          </w:p>
        </w:tc>
        <w:tc>
          <w:tcPr>
            <w:tcW w:w="2871" w:type="dxa"/>
          </w:tcPr>
          <w:p w14:paraId="2E28C83B" w14:textId="28592AC1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  <w:tr w:rsidR="00A86702" w14:paraId="01C5715E" w14:textId="77777777" w:rsidTr="00A86702">
        <w:tc>
          <w:tcPr>
            <w:tcW w:w="1523" w:type="dxa"/>
          </w:tcPr>
          <w:p w14:paraId="1BAC570F" w14:textId="614F269F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4668" w:type="dxa"/>
          </w:tcPr>
          <w:p w14:paraId="3D94AD2C" w14:textId="6E57BE5B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02">
              <w:rPr>
                <w:rFonts w:ascii="Arial" w:hAnsi="Arial" w:cs="Arial"/>
                <w:sz w:val="24"/>
                <w:szCs w:val="24"/>
              </w:rPr>
              <w:t xml:space="preserve">Moduł rejestracji korespondencji </w:t>
            </w:r>
            <w:proofErr w:type="spellStart"/>
            <w:r w:rsidRPr="00A86702">
              <w:rPr>
                <w:rFonts w:ascii="Arial" w:hAnsi="Arial" w:cs="Arial"/>
                <w:sz w:val="24"/>
                <w:szCs w:val="24"/>
              </w:rPr>
              <w:t>Elvys</w:t>
            </w:r>
            <w:proofErr w:type="spellEnd"/>
            <w:r w:rsidRPr="00A86702">
              <w:rPr>
                <w:rFonts w:ascii="Arial" w:hAnsi="Arial" w:cs="Arial"/>
                <w:sz w:val="24"/>
                <w:szCs w:val="24"/>
              </w:rPr>
              <w:t xml:space="preserve"> IP-REC</w:t>
            </w:r>
          </w:p>
        </w:tc>
        <w:tc>
          <w:tcPr>
            <w:tcW w:w="2871" w:type="dxa"/>
          </w:tcPr>
          <w:p w14:paraId="0BC438D8" w14:textId="7FCA05DA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  <w:tr w:rsidR="00A86702" w14:paraId="7A1EE482" w14:textId="77777777" w:rsidTr="00A86702">
        <w:tc>
          <w:tcPr>
            <w:tcW w:w="1523" w:type="dxa"/>
          </w:tcPr>
          <w:p w14:paraId="62A64B00" w14:textId="2C5741D0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4668" w:type="dxa"/>
          </w:tcPr>
          <w:p w14:paraId="2098371D" w14:textId="4E4ED1F4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02">
              <w:rPr>
                <w:rFonts w:ascii="Arial" w:hAnsi="Arial" w:cs="Arial"/>
                <w:sz w:val="24"/>
                <w:szCs w:val="24"/>
              </w:rPr>
              <w:t xml:space="preserve">Moduł radiowęzła </w:t>
            </w:r>
            <w:proofErr w:type="spellStart"/>
            <w:r w:rsidRPr="00A86702">
              <w:rPr>
                <w:rFonts w:ascii="Arial" w:hAnsi="Arial" w:cs="Arial"/>
                <w:sz w:val="24"/>
                <w:szCs w:val="24"/>
              </w:rPr>
              <w:t>Elvys</w:t>
            </w:r>
            <w:proofErr w:type="spellEnd"/>
            <w:r w:rsidRPr="00A86702">
              <w:rPr>
                <w:rFonts w:ascii="Arial" w:hAnsi="Arial" w:cs="Arial"/>
                <w:sz w:val="24"/>
                <w:szCs w:val="24"/>
              </w:rPr>
              <w:t xml:space="preserve"> IP-MIC</w:t>
            </w:r>
          </w:p>
        </w:tc>
        <w:tc>
          <w:tcPr>
            <w:tcW w:w="2871" w:type="dxa"/>
          </w:tcPr>
          <w:p w14:paraId="0A870D89" w14:textId="044F70F0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  <w:tr w:rsidR="00A86702" w14:paraId="75643440" w14:textId="77777777" w:rsidTr="00A86702">
        <w:tc>
          <w:tcPr>
            <w:tcW w:w="1523" w:type="dxa"/>
          </w:tcPr>
          <w:p w14:paraId="6E948825" w14:textId="4D6FE5D6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4668" w:type="dxa"/>
          </w:tcPr>
          <w:p w14:paraId="5337DF1D" w14:textId="6114B7A3" w:rsidR="00A86702" w:rsidRP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Okres gwarancji na powyższe urządzenia min. 24 miesiące</w:t>
            </w:r>
          </w:p>
        </w:tc>
        <w:tc>
          <w:tcPr>
            <w:tcW w:w="2871" w:type="dxa"/>
          </w:tcPr>
          <w:p w14:paraId="21773620" w14:textId="75ED9F45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  <w:tr w:rsidR="00A86702" w14:paraId="593FA092" w14:textId="77777777" w:rsidTr="00C035FD">
        <w:tc>
          <w:tcPr>
            <w:tcW w:w="9062" w:type="dxa"/>
            <w:gridSpan w:val="3"/>
          </w:tcPr>
          <w:p w14:paraId="2E499E03" w14:textId="47E3AF49" w:rsidR="00A86702" w:rsidRPr="00A86702" w:rsidRDefault="00A86702" w:rsidP="00A8670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702">
              <w:rPr>
                <w:rFonts w:ascii="Arial" w:hAnsi="Arial" w:cs="Arial"/>
                <w:b/>
                <w:bCs/>
                <w:sz w:val="24"/>
                <w:szCs w:val="24"/>
              </w:rPr>
              <w:t>Zakres prac do wykonania w ramach dostawy w/w sprzętu:</w:t>
            </w:r>
          </w:p>
        </w:tc>
      </w:tr>
      <w:tr w:rsidR="00A86702" w14:paraId="1363AEA5" w14:textId="77777777" w:rsidTr="00A86702">
        <w:tc>
          <w:tcPr>
            <w:tcW w:w="1523" w:type="dxa"/>
          </w:tcPr>
          <w:p w14:paraId="6B250799" w14:textId="19D4D5B7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14:paraId="06A15B44" w14:textId="7039EF4F" w:rsidR="00A86702" w:rsidRP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02">
              <w:rPr>
                <w:rFonts w:ascii="Arial" w:hAnsi="Arial" w:cs="Arial"/>
                <w:sz w:val="24"/>
                <w:szCs w:val="24"/>
              </w:rPr>
              <w:t xml:space="preserve">Konfiguracja routera </w:t>
            </w:r>
            <w:proofErr w:type="spellStart"/>
            <w:r w:rsidRPr="00A86702">
              <w:rPr>
                <w:rFonts w:ascii="Arial" w:hAnsi="Arial" w:cs="Arial"/>
                <w:sz w:val="24"/>
                <w:szCs w:val="24"/>
              </w:rPr>
              <w:t>Mikrotik</w:t>
            </w:r>
            <w:proofErr w:type="spellEnd"/>
            <w:r w:rsidRPr="00A86702">
              <w:rPr>
                <w:rFonts w:ascii="Arial" w:hAnsi="Arial" w:cs="Arial"/>
                <w:sz w:val="24"/>
                <w:szCs w:val="24"/>
              </w:rPr>
              <w:t xml:space="preserve"> do pracy w sieci VPN KWPSP w Krakowie</w:t>
            </w:r>
          </w:p>
        </w:tc>
        <w:tc>
          <w:tcPr>
            <w:tcW w:w="2871" w:type="dxa"/>
          </w:tcPr>
          <w:p w14:paraId="7736FBB8" w14:textId="7C139DC6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  <w:tr w:rsidR="00A86702" w14:paraId="4866880B" w14:textId="77777777" w:rsidTr="00A86702">
        <w:tc>
          <w:tcPr>
            <w:tcW w:w="1523" w:type="dxa"/>
          </w:tcPr>
          <w:p w14:paraId="4AA469AA" w14:textId="1AC0C0F0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14:paraId="20768D21" w14:textId="70397EC4" w:rsidR="00A86702" w:rsidRP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702">
              <w:rPr>
                <w:rFonts w:ascii="Arial" w:hAnsi="Arial" w:cs="Arial"/>
                <w:sz w:val="24"/>
                <w:szCs w:val="24"/>
              </w:rPr>
              <w:t xml:space="preserve">Rekonfiguracja i </w:t>
            </w:r>
            <w:proofErr w:type="spellStart"/>
            <w:r w:rsidRPr="00A86702">
              <w:rPr>
                <w:rFonts w:ascii="Arial" w:hAnsi="Arial" w:cs="Arial"/>
                <w:sz w:val="24"/>
                <w:szCs w:val="24"/>
              </w:rPr>
              <w:t>upgrade</w:t>
            </w:r>
            <w:proofErr w:type="spellEnd"/>
            <w:r w:rsidRPr="00A86702">
              <w:rPr>
                <w:rFonts w:ascii="Arial" w:hAnsi="Arial" w:cs="Arial"/>
                <w:sz w:val="24"/>
                <w:szCs w:val="24"/>
              </w:rPr>
              <w:t xml:space="preserve"> do najnowszej wersji obecnie używanego systemu </w:t>
            </w:r>
            <w:proofErr w:type="spellStart"/>
            <w:r w:rsidRPr="00A86702">
              <w:rPr>
                <w:rFonts w:ascii="Arial" w:hAnsi="Arial" w:cs="Arial"/>
                <w:sz w:val="24"/>
                <w:szCs w:val="24"/>
              </w:rPr>
              <w:t>Elvys</w:t>
            </w:r>
            <w:proofErr w:type="spellEnd"/>
            <w:r w:rsidRPr="00A867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6702">
              <w:rPr>
                <w:rFonts w:ascii="Arial" w:hAnsi="Arial" w:cs="Arial"/>
                <w:sz w:val="24"/>
                <w:szCs w:val="24"/>
              </w:rPr>
              <w:t>Multikom</w:t>
            </w:r>
            <w:proofErr w:type="spellEnd"/>
            <w:r w:rsidRPr="00A86702">
              <w:rPr>
                <w:rFonts w:ascii="Arial" w:hAnsi="Arial" w:cs="Arial"/>
                <w:sz w:val="24"/>
                <w:szCs w:val="24"/>
              </w:rPr>
              <w:t>-IP</w:t>
            </w:r>
          </w:p>
        </w:tc>
        <w:tc>
          <w:tcPr>
            <w:tcW w:w="2871" w:type="dxa"/>
          </w:tcPr>
          <w:p w14:paraId="7F10F3D1" w14:textId="1798B5E2" w:rsidR="00A86702" w:rsidRDefault="00A86702" w:rsidP="00A8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Spełnia / nie spełnia</w:t>
            </w:r>
          </w:p>
        </w:tc>
      </w:tr>
    </w:tbl>
    <w:p w14:paraId="3E5E2050" w14:textId="77777777" w:rsidR="00C01E75" w:rsidRPr="00C01E75" w:rsidRDefault="00C01E75" w:rsidP="00C01E75">
      <w:pPr>
        <w:jc w:val="center"/>
        <w:rPr>
          <w:rFonts w:ascii="Arial" w:hAnsi="Arial" w:cs="Arial"/>
          <w:sz w:val="24"/>
          <w:szCs w:val="24"/>
        </w:rPr>
      </w:pPr>
    </w:p>
    <w:p w14:paraId="78B51846" w14:textId="64FEF089" w:rsidR="00F34446" w:rsidRPr="00F34446" w:rsidRDefault="00F34446" w:rsidP="00F34446">
      <w:pPr>
        <w:jc w:val="both"/>
        <w:rPr>
          <w:rFonts w:ascii="Arial" w:hAnsi="Arial" w:cs="Arial"/>
          <w:sz w:val="20"/>
          <w:szCs w:val="20"/>
        </w:rPr>
      </w:pPr>
      <w:r w:rsidRPr="00F34446">
        <w:rPr>
          <w:rFonts w:ascii="Arial" w:hAnsi="Arial" w:cs="Arial"/>
          <w:sz w:val="20"/>
          <w:szCs w:val="20"/>
        </w:rPr>
        <w:t>Zamawiający informuję, że dopuszcza możliwość zastosowania materiałów, produktów lub</w:t>
      </w:r>
      <w:r>
        <w:rPr>
          <w:rFonts w:ascii="Arial" w:hAnsi="Arial" w:cs="Arial"/>
          <w:sz w:val="20"/>
          <w:szCs w:val="20"/>
        </w:rPr>
        <w:t xml:space="preserve"> </w:t>
      </w:r>
      <w:r w:rsidRPr="00F34446">
        <w:rPr>
          <w:rFonts w:ascii="Arial" w:hAnsi="Arial" w:cs="Arial"/>
          <w:sz w:val="20"/>
          <w:szCs w:val="20"/>
        </w:rPr>
        <w:t>towarów równoważnych w przypadku wystąpienia w dokumentach zamówienia, czy innych</w:t>
      </w:r>
      <w:r>
        <w:rPr>
          <w:rFonts w:ascii="Arial" w:hAnsi="Arial" w:cs="Arial"/>
          <w:sz w:val="20"/>
          <w:szCs w:val="20"/>
        </w:rPr>
        <w:t xml:space="preserve"> </w:t>
      </w:r>
      <w:r w:rsidRPr="00F34446">
        <w:rPr>
          <w:rFonts w:ascii="Arial" w:hAnsi="Arial" w:cs="Arial"/>
          <w:sz w:val="20"/>
          <w:szCs w:val="20"/>
        </w:rPr>
        <w:t>dokumentach udostępnionych w ramach postępowania nazw materiałów lub towarów ze</w:t>
      </w:r>
      <w:r>
        <w:rPr>
          <w:rFonts w:ascii="Arial" w:hAnsi="Arial" w:cs="Arial"/>
          <w:sz w:val="20"/>
          <w:szCs w:val="20"/>
        </w:rPr>
        <w:t xml:space="preserve"> </w:t>
      </w:r>
      <w:r w:rsidRPr="00F34446">
        <w:rPr>
          <w:rFonts w:ascii="Arial" w:hAnsi="Arial" w:cs="Arial"/>
          <w:sz w:val="20"/>
          <w:szCs w:val="20"/>
        </w:rPr>
        <w:t>wskazaniem producenta, znaków towarowych, patentów, pochodzenia, źródła lub</w:t>
      </w:r>
      <w:r>
        <w:rPr>
          <w:rFonts w:ascii="Arial" w:hAnsi="Arial" w:cs="Arial"/>
          <w:sz w:val="20"/>
          <w:szCs w:val="20"/>
        </w:rPr>
        <w:t xml:space="preserve"> </w:t>
      </w:r>
      <w:r w:rsidRPr="00F34446">
        <w:rPr>
          <w:rFonts w:ascii="Arial" w:hAnsi="Arial" w:cs="Arial"/>
          <w:sz w:val="20"/>
          <w:szCs w:val="20"/>
        </w:rPr>
        <w:t>szczególnego procesu charakteryzującego konkretne produkty lub usługi, albo normy,</w:t>
      </w:r>
      <w:r>
        <w:rPr>
          <w:rFonts w:ascii="Arial" w:hAnsi="Arial" w:cs="Arial"/>
          <w:sz w:val="20"/>
          <w:szCs w:val="20"/>
        </w:rPr>
        <w:t xml:space="preserve"> </w:t>
      </w:r>
      <w:r w:rsidRPr="00F34446">
        <w:rPr>
          <w:rFonts w:ascii="Arial" w:hAnsi="Arial" w:cs="Arial"/>
          <w:sz w:val="20"/>
          <w:szCs w:val="20"/>
        </w:rPr>
        <w:t>aprobaty, specyfikacje, czy systemy. Zamawiający informuję, że w przypadku wystąpienia</w:t>
      </w:r>
      <w:r>
        <w:rPr>
          <w:rFonts w:ascii="Arial" w:hAnsi="Arial" w:cs="Arial"/>
          <w:sz w:val="20"/>
          <w:szCs w:val="20"/>
        </w:rPr>
        <w:t xml:space="preserve"> </w:t>
      </w:r>
      <w:r w:rsidRPr="00F34446">
        <w:rPr>
          <w:rFonts w:ascii="Arial" w:hAnsi="Arial" w:cs="Arial"/>
          <w:sz w:val="20"/>
          <w:szCs w:val="20"/>
        </w:rPr>
        <w:t>w dokumentacji ww. przypadków należy je potraktować jako przykładowe</w:t>
      </w:r>
    </w:p>
    <w:sectPr w:rsidR="00F34446" w:rsidRPr="00F3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33E4E"/>
    <w:multiLevelType w:val="hybridMultilevel"/>
    <w:tmpl w:val="4F700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65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A9"/>
    <w:rsid w:val="006F65E7"/>
    <w:rsid w:val="00A21FF0"/>
    <w:rsid w:val="00A7399C"/>
    <w:rsid w:val="00A86702"/>
    <w:rsid w:val="00C01E75"/>
    <w:rsid w:val="00F34446"/>
    <w:rsid w:val="00F6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D42E"/>
  <w15:chartTrackingRefBased/>
  <w15:docId w15:val="{2850D67E-81B6-4109-A465-C929CA4D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7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7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7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7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7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7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7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7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7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7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7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7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7B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7B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7B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7B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7B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7B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7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7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7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7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7B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7B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7B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7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7B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7BA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0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KP3 PSP Chrzanów</dc:creator>
  <cp:keywords/>
  <dc:description/>
  <cp:lastModifiedBy>KP3 PSP Chrzanów</cp:lastModifiedBy>
  <cp:revision>3</cp:revision>
  <dcterms:created xsi:type="dcterms:W3CDTF">2025-03-03T08:13:00Z</dcterms:created>
  <dcterms:modified xsi:type="dcterms:W3CDTF">2025-03-03T09:22:00Z</dcterms:modified>
</cp:coreProperties>
</file>