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5C9E" w14:textId="44794822" w:rsidR="0096710E" w:rsidRPr="00794A18" w:rsidRDefault="0096710E" w:rsidP="005E5E87">
      <w:pPr>
        <w:jc w:val="right"/>
        <w:rPr>
          <w:rFonts w:asciiTheme="majorHAnsi" w:hAnsiTheme="majorHAnsi" w:cstheme="majorHAnsi"/>
          <w:szCs w:val="24"/>
        </w:rPr>
      </w:pPr>
      <w:r w:rsidRPr="00794A18">
        <w:rPr>
          <w:rFonts w:asciiTheme="majorHAnsi" w:hAnsiTheme="majorHAnsi" w:cstheme="majorHAnsi"/>
          <w:szCs w:val="24"/>
        </w:rPr>
        <w:tab/>
      </w:r>
      <w:r w:rsidR="005E5E87" w:rsidRPr="00794A18">
        <w:rPr>
          <w:rFonts w:asciiTheme="majorHAnsi" w:hAnsiTheme="majorHAnsi" w:cstheme="majorHAnsi"/>
          <w:szCs w:val="24"/>
        </w:rPr>
        <w:t xml:space="preserve"> </w:t>
      </w:r>
      <w:r w:rsidRPr="00794A18">
        <w:rPr>
          <w:rFonts w:asciiTheme="majorHAnsi" w:hAnsiTheme="majorHAnsi" w:cstheme="majorHAnsi"/>
          <w:szCs w:val="24"/>
        </w:rPr>
        <w:t xml:space="preserve">Skoczów, dnia </w:t>
      </w:r>
      <w:r w:rsidR="00794A18">
        <w:rPr>
          <w:rFonts w:asciiTheme="majorHAnsi" w:hAnsiTheme="majorHAnsi" w:cstheme="majorHAnsi"/>
          <w:szCs w:val="24"/>
        </w:rPr>
        <w:t>17</w:t>
      </w:r>
      <w:r w:rsidR="00A1516C" w:rsidRPr="00794A18">
        <w:rPr>
          <w:rFonts w:asciiTheme="majorHAnsi" w:hAnsiTheme="majorHAnsi" w:cstheme="majorHAnsi"/>
          <w:szCs w:val="24"/>
        </w:rPr>
        <w:t>.</w:t>
      </w:r>
      <w:r w:rsidR="004A68AA" w:rsidRPr="00794A18">
        <w:rPr>
          <w:rFonts w:asciiTheme="majorHAnsi" w:hAnsiTheme="majorHAnsi" w:cstheme="majorHAnsi"/>
          <w:szCs w:val="24"/>
        </w:rPr>
        <w:t>0</w:t>
      </w:r>
      <w:r w:rsidR="00654441" w:rsidRPr="00794A18">
        <w:rPr>
          <w:rFonts w:asciiTheme="majorHAnsi" w:hAnsiTheme="majorHAnsi" w:cstheme="majorHAnsi"/>
          <w:szCs w:val="24"/>
        </w:rPr>
        <w:t>1</w:t>
      </w:r>
      <w:r w:rsidR="00D76875" w:rsidRPr="00794A18">
        <w:rPr>
          <w:rFonts w:asciiTheme="majorHAnsi" w:hAnsiTheme="majorHAnsi" w:cstheme="majorHAnsi"/>
          <w:szCs w:val="24"/>
        </w:rPr>
        <w:t>.202</w:t>
      </w:r>
      <w:r w:rsidR="004A68AA" w:rsidRPr="00794A18">
        <w:rPr>
          <w:rFonts w:asciiTheme="majorHAnsi" w:hAnsiTheme="majorHAnsi" w:cstheme="majorHAnsi"/>
          <w:szCs w:val="24"/>
        </w:rPr>
        <w:t>5</w:t>
      </w:r>
      <w:r w:rsidRPr="00794A18">
        <w:rPr>
          <w:rFonts w:asciiTheme="majorHAnsi" w:hAnsiTheme="majorHAnsi" w:cstheme="majorHAnsi"/>
          <w:szCs w:val="24"/>
        </w:rPr>
        <w:t>r.</w:t>
      </w:r>
    </w:p>
    <w:p w14:paraId="378AD24B" w14:textId="05022548" w:rsidR="005E5E87" w:rsidRPr="00794A18" w:rsidRDefault="005E5E87" w:rsidP="005E5E87">
      <w:pPr>
        <w:rPr>
          <w:rFonts w:asciiTheme="majorHAnsi" w:hAnsiTheme="majorHAnsi" w:cstheme="majorHAnsi"/>
          <w:szCs w:val="24"/>
        </w:rPr>
      </w:pPr>
      <w:r w:rsidRPr="00794A18">
        <w:rPr>
          <w:rFonts w:asciiTheme="majorHAnsi" w:hAnsiTheme="majorHAnsi" w:cstheme="majorHAnsi"/>
          <w:szCs w:val="24"/>
        </w:rPr>
        <w:t>BZP.271.2.202</w:t>
      </w:r>
      <w:r w:rsidR="004A68AA" w:rsidRPr="00794A18">
        <w:rPr>
          <w:rFonts w:asciiTheme="majorHAnsi" w:hAnsiTheme="majorHAnsi" w:cstheme="majorHAnsi"/>
          <w:szCs w:val="24"/>
        </w:rPr>
        <w:t>5</w:t>
      </w:r>
    </w:p>
    <w:p w14:paraId="7D53F7CE" w14:textId="77777777" w:rsidR="0096710E" w:rsidRPr="00794A18" w:rsidRDefault="0096710E" w:rsidP="00654441">
      <w:pPr>
        <w:rPr>
          <w:rFonts w:asciiTheme="majorHAnsi" w:hAnsiTheme="majorHAnsi" w:cstheme="majorHAnsi"/>
          <w:szCs w:val="24"/>
        </w:rPr>
      </w:pPr>
    </w:p>
    <w:p w14:paraId="299CCC2D" w14:textId="14C82938" w:rsidR="0096710E" w:rsidRPr="00794A18" w:rsidRDefault="00654441" w:rsidP="00654441">
      <w:pPr>
        <w:rPr>
          <w:rFonts w:asciiTheme="majorHAnsi" w:hAnsiTheme="majorHAnsi" w:cstheme="majorHAnsi"/>
          <w:szCs w:val="24"/>
        </w:rPr>
      </w:pPr>
      <w:r w:rsidRPr="00794A18">
        <w:rPr>
          <w:rFonts w:asciiTheme="majorHAnsi" w:hAnsiTheme="majorHAnsi" w:cstheme="majorHAnsi"/>
          <w:szCs w:val="24"/>
        </w:rPr>
        <w:t xml:space="preserve">                                                                                                                           </w:t>
      </w:r>
      <w:r w:rsidR="0096710E" w:rsidRPr="00794A18">
        <w:rPr>
          <w:rFonts w:asciiTheme="majorHAnsi" w:hAnsiTheme="majorHAnsi" w:cstheme="majorHAnsi"/>
          <w:szCs w:val="24"/>
        </w:rPr>
        <w:t>Wszyscy Wykonawcy</w:t>
      </w:r>
    </w:p>
    <w:p w14:paraId="5B42754D" w14:textId="77777777" w:rsidR="00F46047" w:rsidRPr="00794A18" w:rsidRDefault="00F46047" w:rsidP="00654441">
      <w:pPr>
        <w:rPr>
          <w:rFonts w:asciiTheme="majorHAnsi" w:hAnsiTheme="majorHAnsi" w:cstheme="majorHAnsi"/>
          <w:b/>
          <w:szCs w:val="24"/>
        </w:rPr>
      </w:pPr>
      <w:bookmarkStart w:id="0" w:name="_Hlk95227227"/>
    </w:p>
    <w:p w14:paraId="62C9FDAD" w14:textId="49DF25A8" w:rsidR="00654441" w:rsidRPr="00794A18" w:rsidRDefault="007C45DB" w:rsidP="00654441">
      <w:pPr>
        <w:rPr>
          <w:rFonts w:asciiTheme="majorHAnsi" w:hAnsiTheme="majorHAnsi" w:cstheme="majorHAnsi"/>
          <w:b/>
          <w:szCs w:val="24"/>
        </w:rPr>
      </w:pPr>
      <w:r w:rsidRPr="00794A18">
        <w:rPr>
          <w:rFonts w:asciiTheme="majorHAnsi" w:hAnsiTheme="majorHAnsi" w:cstheme="majorHAnsi"/>
          <w:b/>
          <w:szCs w:val="24"/>
        </w:rPr>
        <w:t>Dotyczy postępowania o udzielenie zamówienia publicznego na</w:t>
      </w:r>
      <w:r w:rsidR="004C19DE" w:rsidRPr="00794A18">
        <w:rPr>
          <w:rFonts w:asciiTheme="majorHAnsi" w:hAnsiTheme="majorHAnsi" w:cstheme="majorHAnsi"/>
          <w:b/>
          <w:szCs w:val="24"/>
        </w:rPr>
        <w:t>:</w:t>
      </w:r>
      <w:r w:rsidRPr="00794A18">
        <w:rPr>
          <w:rFonts w:asciiTheme="majorHAnsi" w:hAnsiTheme="majorHAnsi" w:cstheme="majorHAnsi"/>
          <w:b/>
          <w:szCs w:val="24"/>
        </w:rPr>
        <w:t xml:space="preserve"> </w:t>
      </w:r>
      <w:bookmarkEnd w:id="0"/>
      <w:r w:rsidR="004A68AA" w:rsidRPr="00794A18">
        <w:rPr>
          <w:rFonts w:asciiTheme="majorHAnsi" w:hAnsiTheme="majorHAnsi" w:cstheme="majorHAnsi"/>
          <w:b/>
          <w:szCs w:val="24"/>
        </w:rPr>
        <w:t>Świadczenie usług pocztowych dla Gminy Skoczów i Urzędu Miejskiego w Skoczowie</w:t>
      </w:r>
    </w:p>
    <w:p w14:paraId="070BB85A" w14:textId="77777777" w:rsidR="008D12BA" w:rsidRPr="00794A18" w:rsidRDefault="008D12BA" w:rsidP="00654441">
      <w:pPr>
        <w:rPr>
          <w:rFonts w:asciiTheme="majorHAnsi" w:hAnsiTheme="majorHAnsi" w:cstheme="majorHAnsi"/>
          <w:b/>
          <w:szCs w:val="24"/>
        </w:rPr>
      </w:pPr>
    </w:p>
    <w:p w14:paraId="1ED5320D" w14:textId="25778A95" w:rsidR="007C45DB" w:rsidRPr="00794A18" w:rsidRDefault="007C45DB" w:rsidP="00654441">
      <w:pPr>
        <w:rPr>
          <w:rFonts w:asciiTheme="majorHAnsi" w:hAnsiTheme="majorHAnsi" w:cstheme="majorHAnsi"/>
          <w:szCs w:val="24"/>
        </w:rPr>
      </w:pPr>
      <w:r w:rsidRPr="00794A18">
        <w:rPr>
          <w:rFonts w:asciiTheme="majorHAnsi" w:hAnsiTheme="majorHAnsi" w:cstheme="majorHAnsi"/>
          <w:szCs w:val="24"/>
        </w:rPr>
        <w:t xml:space="preserve">Na podstawie art. 284 ust. </w:t>
      </w:r>
      <w:r w:rsidR="00705AE3" w:rsidRPr="00794A18">
        <w:rPr>
          <w:rFonts w:asciiTheme="majorHAnsi" w:hAnsiTheme="majorHAnsi" w:cstheme="majorHAnsi"/>
          <w:szCs w:val="24"/>
        </w:rPr>
        <w:t>2</w:t>
      </w:r>
      <w:r w:rsidRPr="00794A18">
        <w:rPr>
          <w:rFonts w:asciiTheme="majorHAnsi" w:hAnsiTheme="majorHAnsi" w:cstheme="majorHAnsi"/>
          <w:szCs w:val="24"/>
        </w:rPr>
        <w:t xml:space="preserve"> ustawy z dnia 11 września 2019 r. Prawo zamówień publicznych (tekst jednolity: Dz.U. z 202</w:t>
      </w:r>
      <w:r w:rsidR="003D6A46" w:rsidRPr="00794A18">
        <w:rPr>
          <w:rFonts w:asciiTheme="majorHAnsi" w:hAnsiTheme="majorHAnsi" w:cstheme="majorHAnsi"/>
          <w:szCs w:val="24"/>
        </w:rPr>
        <w:t>4</w:t>
      </w:r>
      <w:r w:rsidRPr="00794A18">
        <w:rPr>
          <w:rFonts w:asciiTheme="majorHAnsi" w:hAnsiTheme="majorHAnsi" w:cstheme="majorHAnsi"/>
          <w:szCs w:val="24"/>
        </w:rPr>
        <w:t xml:space="preserve"> r. poz. 1</w:t>
      </w:r>
      <w:r w:rsidR="003D6A46" w:rsidRPr="00794A18">
        <w:rPr>
          <w:rFonts w:asciiTheme="majorHAnsi" w:hAnsiTheme="majorHAnsi" w:cstheme="majorHAnsi"/>
          <w:szCs w:val="24"/>
        </w:rPr>
        <w:t>320</w:t>
      </w:r>
      <w:r w:rsidRPr="00794A18">
        <w:rPr>
          <w:rFonts w:asciiTheme="majorHAnsi" w:hAnsiTheme="majorHAnsi" w:cstheme="majorHAnsi"/>
          <w:szCs w:val="24"/>
        </w:rPr>
        <w:t xml:space="preserve">), w związku z </w:t>
      </w:r>
      <w:r w:rsidR="00321238" w:rsidRPr="00794A18">
        <w:rPr>
          <w:rFonts w:asciiTheme="majorHAnsi" w:hAnsiTheme="majorHAnsi" w:cstheme="majorHAnsi"/>
          <w:szCs w:val="24"/>
        </w:rPr>
        <w:t>zapytani</w:t>
      </w:r>
      <w:r w:rsidR="004C19DE" w:rsidRPr="00794A18">
        <w:rPr>
          <w:rFonts w:asciiTheme="majorHAnsi" w:hAnsiTheme="majorHAnsi" w:cstheme="majorHAnsi"/>
          <w:szCs w:val="24"/>
        </w:rPr>
        <w:t>a</w:t>
      </w:r>
      <w:r w:rsidR="00321238" w:rsidRPr="00794A18">
        <w:rPr>
          <w:rFonts w:asciiTheme="majorHAnsi" w:hAnsiTheme="majorHAnsi" w:cstheme="majorHAnsi"/>
          <w:szCs w:val="24"/>
        </w:rPr>
        <w:t>m</w:t>
      </w:r>
      <w:r w:rsidR="004C19DE" w:rsidRPr="00794A18">
        <w:rPr>
          <w:rFonts w:asciiTheme="majorHAnsi" w:hAnsiTheme="majorHAnsi" w:cstheme="majorHAnsi"/>
          <w:szCs w:val="24"/>
        </w:rPr>
        <w:t>i</w:t>
      </w:r>
      <w:r w:rsidRPr="00794A18">
        <w:rPr>
          <w:rFonts w:asciiTheme="majorHAnsi" w:hAnsiTheme="majorHAnsi" w:cstheme="majorHAnsi"/>
          <w:szCs w:val="24"/>
        </w:rPr>
        <w:t xml:space="preserve"> do treści specyfikacji warunków zamówienia, przekazuję treść zapyta</w:t>
      </w:r>
      <w:r w:rsidR="004C19DE" w:rsidRPr="00794A18">
        <w:rPr>
          <w:rFonts w:asciiTheme="majorHAnsi" w:hAnsiTheme="majorHAnsi" w:cstheme="majorHAnsi"/>
          <w:szCs w:val="24"/>
        </w:rPr>
        <w:t>ń</w:t>
      </w:r>
      <w:r w:rsidRPr="00794A18">
        <w:rPr>
          <w:rFonts w:asciiTheme="majorHAnsi" w:hAnsiTheme="majorHAnsi" w:cstheme="majorHAnsi"/>
          <w:szCs w:val="24"/>
        </w:rPr>
        <w:t xml:space="preserve"> Wykonawcy oraz odpowied</w:t>
      </w:r>
      <w:r w:rsidR="004C19DE" w:rsidRPr="00794A18">
        <w:rPr>
          <w:rFonts w:asciiTheme="majorHAnsi" w:hAnsiTheme="majorHAnsi" w:cstheme="majorHAnsi"/>
          <w:szCs w:val="24"/>
        </w:rPr>
        <w:t>zi</w:t>
      </w:r>
      <w:r w:rsidR="007A21C6" w:rsidRPr="00794A18">
        <w:rPr>
          <w:rFonts w:asciiTheme="majorHAnsi" w:hAnsiTheme="majorHAnsi" w:cstheme="majorHAnsi"/>
          <w:szCs w:val="24"/>
        </w:rPr>
        <w:t xml:space="preserve">. </w:t>
      </w:r>
    </w:p>
    <w:p w14:paraId="40AA62E2"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Część 1 pytań Wykonawcy:</w:t>
      </w:r>
      <w:r w:rsidRPr="00794A18">
        <w:rPr>
          <w:rFonts w:asciiTheme="majorHAnsi" w:hAnsiTheme="majorHAnsi" w:cstheme="majorHAnsi"/>
          <w:szCs w:val="24"/>
        </w:rPr>
        <w:t xml:space="preserve"> Zamawiający w Załączniku nr 4projektumowy § 4ust 4pisze, </w:t>
      </w:r>
      <w:r w:rsidRPr="00794A18">
        <w:rPr>
          <w:rFonts w:asciiTheme="majorHAnsi" w:hAnsiTheme="majorHAnsi" w:cstheme="majorHAnsi"/>
          <w:szCs w:val="24"/>
        </w:rPr>
        <w:br/>
        <w:t>że w trakcie realizacji zamówienia na każde wezwanie Zamawiającego w wyznaczonym w tym wezwaniu terminie, nie krótszym niż 7 dni roboczych, Wykonawca przedłoży Zamawiającemu wskazane dowody w celu potwierdzenia spełnienia wymogu zatrudnienia na podstawie umowy o pracę przez Wykonawcę osób wykonujących wskazane w ustępie 1 czynności w trakcie realizacji zamówienia.</w:t>
      </w:r>
    </w:p>
    <w:p w14:paraId="63A03DC8"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Pytanie 1.1</w:t>
      </w:r>
      <w:r w:rsidRPr="00794A18">
        <w:rPr>
          <w:rFonts w:asciiTheme="majorHAnsi" w:hAnsiTheme="majorHAnsi" w:cstheme="majorHAnsi"/>
          <w:szCs w:val="24"/>
        </w:rPr>
        <w:t xml:space="preserve">: Czy ze względu na wielkość organizacji reprezentowanej przez Wykonawcę oraz procedury wewnętrzne w niej obowiązujące - Zamawiający zmieni termin dostarczenia niezbędnych dokumentów w celu weryfikacji zatrudnienia do 21 dni licząc od dnia wezwania - tak by ten mógł należycie wywiązać się z nałożonych na niego obowiązków, bez narażania się na ewentualne kary umowne? </w:t>
      </w:r>
    </w:p>
    <w:p w14:paraId="156F1F04" w14:textId="77777777" w:rsidR="00794A18" w:rsidRPr="00794A18" w:rsidRDefault="00794A18" w:rsidP="00794A18">
      <w:pPr>
        <w:jc w:val="both"/>
        <w:rPr>
          <w:rFonts w:asciiTheme="majorHAnsi" w:hAnsiTheme="majorHAnsi" w:cstheme="majorHAnsi"/>
          <w:b/>
          <w:bCs/>
          <w:szCs w:val="24"/>
        </w:rPr>
      </w:pPr>
      <w:r w:rsidRPr="00794A18">
        <w:rPr>
          <w:rFonts w:asciiTheme="majorHAnsi" w:hAnsiTheme="majorHAnsi" w:cstheme="majorHAnsi"/>
          <w:b/>
          <w:bCs/>
          <w:szCs w:val="24"/>
        </w:rPr>
        <w:t>Odpowiedź na pytanie nr 1.1:</w:t>
      </w:r>
    </w:p>
    <w:p w14:paraId="63058B82" w14:textId="4D91AEE1" w:rsidR="00794A18" w:rsidRPr="00794A18" w:rsidRDefault="00794A18" w:rsidP="00794A18">
      <w:pPr>
        <w:jc w:val="both"/>
        <w:rPr>
          <w:rFonts w:asciiTheme="majorHAnsi" w:hAnsiTheme="majorHAnsi" w:cstheme="majorHAnsi"/>
          <w:color w:val="000000" w:themeColor="text1"/>
          <w:szCs w:val="24"/>
        </w:rPr>
      </w:pPr>
      <w:r w:rsidRPr="00794A18">
        <w:rPr>
          <w:rFonts w:asciiTheme="majorHAnsi" w:hAnsiTheme="majorHAnsi" w:cstheme="majorHAnsi"/>
          <w:color w:val="000000" w:themeColor="text1"/>
          <w:szCs w:val="24"/>
        </w:rPr>
        <w:t>Zamawiający wyraża zgodę na zmianę terminu dostarczenia niezbędnych dokumentów w celu weryfikacji zatrudnienia z 7 na 21 dni</w:t>
      </w:r>
      <w:r>
        <w:rPr>
          <w:rFonts w:asciiTheme="majorHAnsi" w:hAnsiTheme="majorHAnsi" w:cstheme="majorHAnsi"/>
          <w:color w:val="000000" w:themeColor="text1"/>
          <w:szCs w:val="24"/>
        </w:rPr>
        <w:t xml:space="preserve"> roboczych.</w:t>
      </w:r>
      <w:r w:rsidRPr="00794A18">
        <w:rPr>
          <w:rFonts w:asciiTheme="majorHAnsi" w:hAnsiTheme="majorHAnsi" w:cstheme="majorHAnsi"/>
          <w:color w:val="000000" w:themeColor="text1"/>
          <w:szCs w:val="24"/>
        </w:rPr>
        <w:t xml:space="preserve"> </w:t>
      </w:r>
    </w:p>
    <w:p w14:paraId="66C5D6C3" w14:textId="77777777" w:rsidR="00794A18" w:rsidRPr="00794A18" w:rsidRDefault="00794A18" w:rsidP="00794A18">
      <w:pPr>
        <w:jc w:val="both"/>
        <w:rPr>
          <w:rFonts w:asciiTheme="majorHAnsi" w:hAnsiTheme="majorHAnsi" w:cstheme="majorHAnsi"/>
          <w:color w:val="000000" w:themeColor="text1"/>
          <w:szCs w:val="24"/>
        </w:rPr>
      </w:pPr>
      <w:r w:rsidRPr="00794A18">
        <w:rPr>
          <w:rFonts w:asciiTheme="majorHAnsi" w:hAnsiTheme="majorHAnsi" w:cstheme="majorHAnsi"/>
          <w:color w:val="000000" w:themeColor="text1"/>
          <w:szCs w:val="24"/>
        </w:rPr>
        <w:lastRenderedPageBreak/>
        <w:t>Tym samym zmienia się brzmienie w §4 ust. 4 projektu umowy z:</w:t>
      </w:r>
    </w:p>
    <w:p w14:paraId="4ECCDD31" w14:textId="77777777" w:rsidR="00794A18" w:rsidRPr="00794A18" w:rsidRDefault="00794A18" w:rsidP="00794A18">
      <w:pPr>
        <w:pStyle w:val="Standard"/>
        <w:spacing w:line="360" w:lineRule="auto"/>
        <w:jc w:val="both"/>
        <w:rPr>
          <w:rFonts w:asciiTheme="majorHAnsi" w:hAnsiTheme="majorHAnsi" w:cstheme="majorHAnsi"/>
          <w:color w:val="000000" w:themeColor="text1"/>
          <w:sz w:val="24"/>
          <w:szCs w:val="24"/>
        </w:rPr>
      </w:pPr>
      <w:r w:rsidRPr="00794A18">
        <w:rPr>
          <w:rFonts w:asciiTheme="majorHAnsi" w:hAnsiTheme="majorHAnsi" w:cstheme="majorHAnsi"/>
          <w:b/>
          <w:bCs/>
          <w:color w:val="000000" w:themeColor="text1"/>
          <w:sz w:val="24"/>
          <w:szCs w:val="24"/>
        </w:rPr>
        <w:t>„</w:t>
      </w:r>
      <w:bookmarkStart w:id="1" w:name="_Hlk188003310"/>
      <w:r w:rsidRPr="00794A18">
        <w:rPr>
          <w:rFonts w:asciiTheme="majorHAnsi" w:hAnsiTheme="majorHAnsi" w:cstheme="majorHAnsi"/>
          <w:color w:val="000000" w:themeColor="text1"/>
          <w:sz w:val="24"/>
          <w:szCs w:val="24"/>
        </w:rPr>
        <w:t>W trakcie realizacji zamówienia na każde wezwanie Zamawiającego w wyznaczonym w tym wezwaniu terminie, nie krótszym niż 7 dni roboczych, Wykonawca przedłoży Zamawiającemu wskazane poniżej dowody w celu potwierdzenia spełnienia wymogu zatrudnienia na podstawie umowy o pracę przez Wykonawcę osób wykonujących wskazane w ustępie 1 czynności w trakcie realizacji zamówienia (…)”</w:t>
      </w:r>
      <w:bookmarkEnd w:id="1"/>
    </w:p>
    <w:p w14:paraId="244E7F4A" w14:textId="77777777" w:rsidR="00794A18" w:rsidRPr="00794A18" w:rsidRDefault="00794A18" w:rsidP="00794A18">
      <w:pPr>
        <w:pStyle w:val="Standard"/>
        <w:spacing w:line="360" w:lineRule="auto"/>
        <w:jc w:val="both"/>
        <w:rPr>
          <w:rFonts w:asciiTheme="majorHAnsi" w:hAnsiTheme="majorHAnsi" w:cstheme="majorHAnsi"/>
          <w:color w:val="000000" w:themeColor="text1"/>
          <w:sz w:val="24"/>
          <w:szCs w:val="24"/>
        </w:rPr>
      </w:pPr>
      <w:r w:rsidRPr="00794A18">
        <w:rPr>
          <w:rFonts w:asciiTheme="majorHAnsi" w:hAnsiTheme="majorHAnsi" w:cstheme="majorHAnsi"/>
          <w:color w:val="000000" w:themeColor="text1"/>
          <w:sz w:val="24"/>
          <w:szCs w:val="24"/>
        </w:rPr>
        <w:t>Na:</w:t>
      </w:r>
    </w:p>
    <w:p w14:paraId="7275EF3B" w14:textId="77777777" w:rsidR="00794A18" w:rsidRPr="00794A18" w:rsidRDefault="00794A18" w:rsidP="00794A18">
      <w:pPr>
        <w:pStyle w:val="Standard"/>
        <w:spacing w:line="360" w:lineRule="auto"/>
        <w:jc w:val="both"/>
        <w:rPr>
          <w:rFonts w:asciiTheme="majorHAnsi" w:hAnsiTheme="majorHAnsi" w:cstheme="majorHAnsi"/>
          <w:color w:val="000000" w:themeColor="text1"/>
          <w:sz w:val="24"/>
          <w:szCs w:val="24"/>
        </w:rPr>
      </w:pPr>
      <w:r w:rsidRPr="00794A18">
        <w:rPr>
          <w:rFonts w:asciiTheme="majorHAnsi" w:hAnsiTheme="majorHAnsi" w:cstheme="majorHAnsi"/>
          <w:color w:val="000000" w:themeColor="text1"/>
          <w:sz w:val="24"/>
          <w:szCs w:val="24"/>
        </w:rPr>
        <w:t>„W trakcie realizacji zamówienia na każde wezwanie Zamawiającego w wyznaczonym w tym wezwaniu terminie, nie krótszym niż 21 dni roboczych, Wykonawca przedłoży Zamawiającemu wskazane poniżej dowody w celu potwierdzenia spełnienia wymogu zatrudnienia na podstawie umowy o pracę przez Wykonawcę osób wykonujących wskazane w ustępie 1 czynności w trakcie realizacji zamówienia (…)”</w:t>
      </w:r>
    </w:p>
    <w:p w14:paraId="316790DD" w14:textId="77777777" w:rsidR="00794A18" w:rsidRPr="00794A18" w:rsidRDefault="00794A18" w:rsidP="00794A18">
      <w:pPr>
        <w:jc w:val="both"/>
        <w:rPr>
          <w:rFonts w:asciiTheme="majorHAnsi" w:hAnsiTheme="majorHAnsi" w:cstheme="majorHAnsi"/>
          <w:b/>
          <w:bCs/>
          <w:color w:val="FF0000"/>
          <w:szCs w:val="24"/>
        </w:rPr>
      </w:pPr>
    </w:p>
    <w:p w14:paraId="6D2D2D73"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 xml:space="preserve">Pytanie 1.2: </w:t>
      </w:r>
      <w:r w:rsidRPr="00794A18">
        <w:rPr>
          <w:rFonts w:asciiTheme="majorHAnsi" w:hAnsiTheme="majorHAnsi" w:cstheme="majorHAnsi"/>
          <w:szCs w:val="24"/>
        </w:rPr>
        <w:t xml:space="preserve">Czy Wykonawca dobrze rozumie, że Zamawiający ma na myśli osoby zatrudnione na umowę o pracę w placówce Wykonawcy wyznaczonej do nadawania przesyłek przez Zamawiającego? W przeciwnym razie na Wykonawcy będzie ciążył obowiązek przedstawienia nawet kilkudziesięciu tysięcy dowodów zawarcia umów o pracę. </w:t>
      </w:r>
    </w:p>
    <w:p w14:paraId="79357355"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Oczekiwanie to jest technicznie niemożliwe do realizacji i już na wstępie wyklucza wykonawcę z możliwości złożenia oferty.</w:t>
      </w:r>
    </w:p>
    <w:p w14:paraId="12968D13" w14:textId="77777777" w:rsidR="00794A18" w:rsidRPr="00794A18" w:rsidRDefault="00794A18" w:rsidP="00794A18">
      <w:pPr>
        <w:rPr>
          <w:rFonts w:asciiTheme="majorHAnsi" w:hAnsiTheme="majorHAnsi" w:cstheme="majorHAnsi"/>
          <w:b/>
          <w:bCs/>
          <w:szCs w:val="24"/>
        </w:rPr>
      </w:pPr>
      <w:r w:rsidRPr="00794A18">
        <w:rPr>
          <w:rFonts w:asciiTheme="majorHAnsi" w:hAnsiTheme="majorHAnsi" w:cstheme="majorHAnsi"/>
          <w:b/>
          <w:bCs/>
          <w:szCs w:val="24"/>
        </w:rPr>
        <w:t>Odpowiedź na pytanie nr 1.2</w:t>
      </w:r>
    </w:p>
    <w:p w14:paraId="34AEDBDC" w14:textId="77777777" w:rsidR="00794A18" w:rsidRPr="00794A18" w:rsidRDefault="00794A18" w:rsidP="00794A18">
      <w:pPr>
        <w:jc w:val="both"/>
        <w:rPr>
          <w:rFonts w:asciiTheme="majorHAnsi" w:hAnsiTheme="majorHAnsi" w:cstheme="majorHAnsi"/>
          <w:color w:val="000000" w:themeColor="text1"/>
          <w:szCs w:val="24"/>
        </w:rPr>
      </w:pPr>
      <w:r w:rsidRPr="00794A18">
        <w:rPr>
          <w:rFonts w:asciiTheme="majorHAnsi" w:hAnsiTheme="majorHAnsi" w:cstheme="majorHAnsi"/>
          <w:color w:val="000000" w:themeColor="text1"/>
          <w:szCs w:val="24"/>
        </w:rPr>
        <w:t>Zamawiający potwierdza, że ma na myśli osoby zatrudnione na umowę o pracę w placówce Wykonawcy wyznaczonej do nadawania przesyłek przez Zamawiającego</w:t>
      </w:r>
    </w:p>
    <w:p w14:paraId="3335451D" w14:textId="77777777" w:rsidR="00794A18" w:rsidRPr="00794A18" w:rsidRDefault="00794A18" w:rsidP="00794A18">
      <w:pPr>
        <w:jc w:val="both"/>
        <w:rPr>
          <w:rFonts w:asciiTheme="majorHAnsi" w:hAnsiTheme="majorHAnsi" w:cstheme="majorHAnsi"/>
          <w:color w:val="000000" w:themeColor="text1"/>
          <w:szCs w:val="24"/>
        </w:rPr>
      </w:pPr>
    </w:p>
    <w:p w14:paraId="1DA93A3C"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Część 2 pytań Wykonawcy</w:t>
      </w:r>
      <w:r w:rsidRPr="00794A18">
        <w:rPr>
          <w:rFonts w:asciiTheme="majorHAnsi" w:hAnsiTheme="majorHAnsi" w:cstheme="majorHAnsi"/>
          <w:szCs w:val="24"/>
        </w:rPr>
        <w:t xml:space="preserve">: Zamawiający w Załączniku nr 4 projekt umowy § 6 ust. 1 Projektu umowy Zamawiający pisze, że w przypadku, gdy Zamawiający odstąpi od umowy w całości lub w części z powodu okoliczności, za które odpowiada Wykonawca lub w przypadku gdy </w:t>
      </w:r>
      <w:r w:rsidRPr="00794A18">
        <w:rPr>
          <w:rFonts w:asciiTheme="majorHAnsi" w:hAnsiTheme="majorHAnsi" w:cstheme="majorHAnsi"/>
          <w:szCs w:val="24"/>
        </w:rPr>
        <w:lastRenderedPageBreak/>
        <w:t xml:space="preserve">Wykonawca odstąpi od umowy w całości lub w części z powodu okoliczności, za które nie odpowiada Zamawiający obciąży Wykonawcę karą umowną w wysokości 10% wynagrodzenia umownego brutto określonego w § 3 ust. 1. </w:t>
      </w:r>
    </w:p>
    <w:p w14:paraId="002BDB54"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 xml:space="preserve">Natomiast w § 6 ust. 2 Projektu umowy Zamawiający przewiduje naliczenie Wykonawcy kary umownej w wysokości 500 zł za każdy przypadek braku realizacji obowiązków określonych </w:t>
      </w:r>
      <w:r w:rsidRPr="00794A18">
        <w:rPr>
          <w:rFonts w:asciiTheme="majorHAnsi" w:hAnsiTheme="majorHAnsi" w:cstheme="majorHAnsi"/>
          <w:szCs w:val="24"/>
        </w:rPr>
        <w:br/>
        <w:t xml:space="preserve">w art. 95 ustawy Prawo zamówień publicznych przez osoby zatrudnione na podstawie umowy o pracę. </w:t>
      </w:r>
    </w:p>
    <w:p w14:paraId="2D89DC97"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 xml:space="preserve">Wykonawca wskazuje, że poza wysokością w/w kary, która nosi rażąco wygórowany charakter, budzącym wątpliwości jest stwierdzenie – wynikające z w/w przepisów wzoru umowy, że to Zamawiający jednostronnie stwierdza, czy zaszły okoliczności mogące stanowić podstawę do rozwiązania umowy i w konsekwencji do nałożenia kar (brak w umowie opisanego procesu weryfikacji należytego wykonania umowy i sposobu wspólnej weryfikacji prawidłowości wykonania przedmiotu zamówienia), co świadczy o tym, że Zamawiający stawia się na pozycji uprzywilejowanej zakłócając jedną z naczelnych zasad prawa w cywilnego (równości stron stosunku cywilnoprawnego), a także stojąc w sprzeczności z stanowiskiem prezentowanym </w:t>
      </w:r>
      <w:r w:rsidRPr="00794A18">
        <w:rPr>
          <w:rFonts w:asciiTheme="majorHAnsi" w:hAnsiTheme="majorHAnsi" w:cstheme="majorHAnsi"/>
          <w:szCs w:val="24"/>
        </w:rPr>
        <w:br/>
        <w:t xml:space="preserve">w orzecznictwie. </w:t>
      </w:r>
    </w:p>
    <w:p w14:paraId="1CE053BE"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 xml:space="preserve">Z uwagi na konieczność dostosowania postanowień wzoru umowy do realnych potrzeb </w:t>
      </w:r>
      <w:r w:rsidRPr="00794A18">
        <w:rPr>
          <w:rFonts w:asciiTheme="majorHAnsi" w:hAnsiTheme="majorHAnsi" w:cstheme="majorHAnsi"/>
          <w:szCs w:val="24"/>
        </w:rPr>
        <w:br/>
        <w:t xml:space="preserve">w zakresie zabezpieczenia uzasadnionego interesu Zamawiającego oraz obowiązujących przepisów i wytycznych wynikających z orzecznictwa, wnosimy o wyjaśnienie: </w:t>
      </w:r>
    </w:p>
    <w:p w14:paraId="64F95B71"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 xml:space="preserve">Pytanie 2.1 </w:t>
      </w:r>
      <w:r w:rsidRPr="00794A18">
        <w:rPr>
          <w:rFonts w:asciiTheme="majorHAnsi" w:hAnsiTheme="majorHAnsi" w:cstheme="majorHAnsi"/>
          <w:szCs w:val="24"/>
        </w:rPr>
        <w:t xml:space="preserve">Czy mając na uwadze równe traktowanie stron umowy Zamawiający uzupełni § 6 przez dodanie kolejnego ustępu uwzględniającego możliwość nałożenia kar na Zamawiającego w przypadku braku wywiązywania się ze swych obowiązków umownych - analogicznie jak czyni to wobec Wykonawcy? </w:t>
      </w:r>
    </w:p>
    <w:p w14:paraId="4D35D976" w14:textId="77777777" w:rsidR="00794A18" w:rsidRPr="00794A18" w:rsidRDefault="00794A18" w:rsidP="00794A18">
      <w:pPr>
        <w:jc w:val="both"/>
        <w:rPr>
          <w:rFonts w:asciiTheme="majorHAnsi" w:hAnsiTheme="majorHAnsi" w:cstheme="majorHAnsi"/>
          <w:b/>
          <w:bCs/>
          <w:szCs w:val="24"/>
        </w:rPr>
      </w:pPr>
      <w:r w:rsidRPr="00794A18">
        <w:rPr>
          <w:rFonts w:asciiTheme="majorHAnsi" w:hAnsiTheme="majorHAnsi" w:cstheme="majorHAnsi"/>
          <w:b/>
          <w:bCs/>
          <w:szCs w:val="24"/>
        </w:rPr>
        <w:t>Odpowiedź na pytanie nr 2.1</w:t>
      </w:r>
    </w:p>
    <w:p w14:paraId="25E474C9"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Zamawiający podtrzymuje zapisy § 6 ust. 1 projektu umowy.</w:t>
      </w:r>
    </w:p>
    <w:p w14:paraId="48611298"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lastRenderedPageBreak/>
        <w:t xml:space="preserve">Pytanie 2.2 </w:t>
      </w:r>
      <w:r w:rsidRPr="00794A18">
        <w:rPr>
          <w:rFonts w:asciiTheme="majorHAnsi" w:hAnsiTheme="majorHAnsi" w:cstheme="majorHAnsi"/>
          <w:szCs w:val="24"/>
        </w:rPr>
        <w:t xml:space="preserve">Czy w związku z faktem, iż zaproponowana przez Zamawiającego kara umowna ma wygórowany charakter usunie on zapisy § 6 ust. 1, względnie złagodzi kary umowne do wartości maksymalnej 5 % wynagrodzenia umownego brutto określonego w § 3 ust. 1? </w:t>
      </w:r>
    </w:p>
    <w:p w14:paraId="4F132750" w14:textId="77777777" w:rsidR="00794A18" w:rsidRPr="00794A18" w:rsidRDefault="00794A18" w:rsidP="00794A18">
      <w:pPr>
        <w:jc w:val="both"/>
        <w:rPr>
          <w:rFonts w:asciiTheme="majorHAnsi" w:hAnsiTheme="majorHAnsi" w:cstheme="majorHAnsi"/>
          <w:b/>
          <w:bCs/>
          <w:szCs w:val="24"/>
        </w:rPr>
      </w:pPr>
      <w:r w:rsidRPr="00794A18">
        <w:rPr>
          <w:rFonts w:asciiTheme="majorHAnsi" w:hAnsiTheme="majorHAnsi" w:cstheme="majorHAnsi"/>
          <w:b/>
          <w:bCs/>
          <w:szCs w:val="24"/>
        </w:rPr>
        <w:t>Odpowiedź na pytanie nr 2.2</w:t>
      </w:r>
    </w:p>
    <w:p w14:paraId="15D81F73"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Zamawiający podtrzymuje zapisy § 6 ust. 1</w:t>
      </w:r>
    </w:p>
    <w:p w14:paraId="1F3B4583"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 xml:space="preserve">Pytanie 2.3 </w:t>
      </w:r>
      <w:r w:rsidRPr="00794A18">
        <w:rPr>
          <w:rFonts w:asciiTheme="majorHAnsi" w:hAnsiTheme="majorHAnsi" w:cstheme="majorHAnsi"/>
          <w:szCs w:val="24"/>
        </w:rPr>
        <w:t xml:space="preserve">Czy w związku z faktem, iż zaproponowana przez Zamawiającego kara umowna ma rażąco wygórowany charakter usunie on zapisy § 6 ust. 2, względnie złagodzi kary umowne do wartości maksymalnej 50 zł za każdy stwierdzony przypadek? </w:t>
      </w:r>
    </w:p>
    <w:p w14:paraId="3FE6780C" w14:textId="77777777" w:rsidR="00794A18" w:rsidRPr="00794A18" w:rsidRDefault="00794A18" w:rsidP="00794A18">
      <w:pPr>
        <w:jc w:val="both"/>
        <w:rPr>
          <w:rFonts w:asciiTheme="majorHAnsi" w:hAnsiTheme="majorHAnsi" w:cstheme="majorHAnsi"/>
          <w:b/>
          <w:bCs/>
          <w:szCs w:val="24"/>
        </w:rPr>
      </w:pPr>
      <w:r w:rsidRPr="00794A18">
        <w:rPr>
          <w:rFonts w:asciiTheme="majorHAnsi" w:hAnsiTheme="majorHAnsi" w:cstheme="majorHAnsi"/>
          <w:b/>
          <w:bCs/>
          <w:szCs w:val="24"/>
        </w:rPr>
        <w:t>Odpowiedź na pytanie nr 2.3</w:t>
      </w:r>
    </w:p>
    <w:p w14:paraId="07984CD0"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szCs w:val="24"/>
        </w:rPr>
        <w:t>Zamawiający podtrzymuje zapisy § 6 ust. 2</w:t>
      </w:r>
    </w:p>
    <w:p w14:paraId="78C782FA"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Część 3 pytań Wykonawcy</w:t>
      </w:r>
      <w:r w:rsidRPr="00794A18">
        <w:rPr>
          <w:rFonts w:asciiTheme="majorHAnsi" w:hAnsiTheme="majorHAnsi" w:cstheme="majorHAnsi"/>
          <w:szCs w:val="24"/>
        </w:rPr>
        <w:t xml:space="preserve">: Zamawiający w Załączniku nr 1 do SWZ formularz oferty </w:t>
      </w:r>
      <w:r w:rsidRPr="00794A18">
        <w:rPr>
          <w:rFonts w:asciiTheme="majorHAnsi" w:hAnsiTheme="majorHAnsi" w:cstheme="majorHAnsi"/>
          <w:szCs w:val="24"/>
        </w:rPr>
        <w:br/>
        <w:t xml:space="preserve">w pozycji 9 i 11 wskazuje do wyceny zagraniczne przesyłki priorytetowe listowe nierejestrowane oraz polecone w sposób zbiorczy dla czterech STREF: A,B,C,D </w:t>
      </w:r>
    </w:p>
    <w:p w14:paraId="18F8B299" w14:textId="77777777" w:rsidR="00794A18" w:rsidRPr="00794A18" w:rsidRDefault="00794A18" w:rsidP="00794A18">
      <w:pPr>
        <w:jc w:val="both"/>
        <w:rPr>
          <w:rFonts w:asciiTheme="majorHAnsi" w:hAnsiTheme="majorHAnsi" w:cstheme="majorHAnsi"/>
          <w:szCs w:val="24"/>
        </w:rPr>
      </w:pPr>
    </w:p>
    <w:p w14:paraId="17E86223" w14:textId="77777777" w:rsidR="00794A18" w:rsidRPr="00794A18" w:rsidRDefault="00794A18" w:rsidP="00794A18">
      <w:pPr>
        <w:jc w:val="both"/>
        <w:rPr>
          <w:rFonts w:asciiTheme="majorHAnsi" w:hAnsiTheme="majorHAnsi" w:cstheme="majorHAnsi"/>
          <w:szCs w:val="24"/>
        </w:rPr>
      </w:pPr>
      <w:r w:rsidRPr="00794A18">
        <w:rPr>
          <w:rFonts w:asciiTheme="majorHAnsi" w:hAnsiTheme="majorHAnsi" w:cstheme="majorHAnsi"/>
          <w:b/>
          <w:bCs/>
          <w:szCs w:val="24"/>
        </w:rPr>
        <w:t xml:space="preserve">Pytanie 3: </w:t>
      </w:r>
      <w:r w:rsidRPr="00794A18">
        <w:rPr>
          <w:rFonts w:asciiTheme="majorHAnsi" w:hAnsiTheme="majorHAnsi" w:cstheme="majorHAnsi"/>
          <w:szCs w:val="24"/>
        </w:rPr>
        <w:t>Czy w związku z faktem, że ceny dla poszczególnych stref różnią się, Zamawiający doda osobne pozycje dla poszczególnych stref przy zagranicznych przesyłkach listowych nierejestrowanych oraz przy zagranicznych przesyłkach listowych poleconych ewentualnie określi jedną strefę przy przesyłkach nierejestrowanych oraz poleconych, umożliwiając tym samym Wykonawcy dokonanie właściwej wyceny?</w:t>
      </w:r>
    </w:p>
    <w:p w14:paraId="4909A84A" w14:textId="77777777" w:rsidR="00794A18" w:rsidRPr="00794A18" w:rsidRDefault="00794A18" w:rsidP="00794A18">
      <w:pPr>
        <w:jc w:val="both"/>
        <w:rPr>
          <w:rFonts w:asciiTheme="majorHAnsi" w:hAnsiTheme="majorHAnsi" w:cstheme="majorHAnsi"/>
          <w:b/>
          <w:bCs/>
          <w:szCs w:val="24"/>
        </w:rPr>
      </w:pPr>
      <w:r w:rsidRPr="00794A18">
        <w:rPr>
          <w:rFonts w:asciiTheme="majorHAnsi" w:hAnsiTheme="majorHAnsi" w:cstheme="majorHAnsi"/>
          <w:b/>
          <w:bCs/>
          <w:szCs w:val="24"/>
        </w:rPr>
        <w:t>Odpowiedź na pytanie nr 3</w:t>
      </w:r>
    </w:p>
    <w:p w14:paraId="712368DF" w14:textId="767B3469" w:rsidR="00D96F9B" w:rsidRPr="00794A18" w:rsidRDefault="00794A18" w:rsidP="00794A18">
      <w:pPr>
        <w:jc w:val="both"/>
        <w:rPr>
          <w:rFonts w:asciiTheme="majorHAnsi" w:hAnsiTheme="majorHAnsi" w:cstheme="majorHAnsi"/>
          <w:b/>
          <w:bCs/>
          <w:color w:val="000000" w:themeColor="text1"/>
          <w:szCs w:val="24"/>
        </w:rPr>
      </w:pPr>
      <w:r w:rsidRPr="00794A18">
        <w:rPr>
          <w:rFonts w:asciiTheme="majorHAnsi" w:hAnsiTheme="majorHAnsi" w:cstheme="majorHAnsi"/>
          <w:color w:val="000000" w:themeColor="text1"/>
          <w:szCs w:val="24"/>
        </w:rPr>
        <w:t>Zamawiający prosi o wycenę przesyłek tylko dla „STREFY A” w formularzu ofertowym dla przesyłek w pozycji 9 i 11. Poprawiony formularz cenowy stanowi załącznik do niniejszego pisma</w:t>
      </w:r>
      <w:r w:rsidRPr="00794A18">
        <w:rPr>
          <w:rFonts w:asciiTheme="majorHAnsi" w:hAnsiTheme="majorHAnsi" w:cstheme="majorHAnsi"/>
          <w:b/>
          <w:bCs/>
          <w:color w:val="000000" w:themeColor="text1"/>
          <w:szCs w:val="24"/>
        </w:rPr>
        <w:t>.</w:t>
      </w:r>
    </w:p>
    <w:p w14:paraId="4B231253" w14:textId="16A7FB3E" w:rsidR="00705AE3" w:rsidRPr="00D96F9B" w:rsidRDefault="00D96F9B" w:rsidP="00D96F9B">
      <w:pPr>
        <w:spacing w:line="240" w:lineRule="auto"/>
        <w:rPr>
          <w:rFonts w:asciiTheme="majorHAnsi" w:hAnsiTheme="majorHAnsi" w:cstheme="majorHAnsi"/>
          <w:szCs w:val="24"/>
        </w:rPr>
      </w:pPr>
      <w:r w:rsidRPr="00D96F9B">
        <w:rPr>
          <w:rFonts w:asciiTheme="majorHAnsi" w:hAnsiTheme="majorHAnsi" w:cstheme="majorHAnsi"/>
          <w:szCs w:val="24"/>
        </w:rPr>
        <w:t xml:space="preserve">                                  </w:t>
      </w:r>
      <w:r>
        <w:rPr>
          <w:rFonts w:asciiTheme="majorHAnsi" w:hAnsiTheme="majorHAnsi" w:cstheme="majorHAnsi"/>
          <w:szCs w:val="24"/>
        </w:rPr>
        <w:t xml:space="preserve">                                                   </w:t>
      </w:r>
      <w:r w:rsidRPr="00D96F9B">
        <w:rPr>
          <w:rFonts w:asciiTheme="majorHAnsi" w:hAnsiTheme="majorHAnsi" w:cstheme="majorHAnsi"/>
          <w:szCs w:val="24"/>
        </w:rPr>
        <w:t xml:space="preserve"> Podpisane przez:</w:t>
      </w:r>
    </w:p>
    <w:p w14:paraId="5EA099BB" w14:textId="2307848F" w:rsidR="00D96F9B" w:rsidRPr="00D96F9B" w:rsidRDefault="00D96F9B" w:rsidP="00D96F9B">
      <w:pPr>
        <w:spacing w:line="240" w:lineRule="auto"/>
        <w:rPr>
          <w:rFonts w:asciiTheme="majorHAnsi" w:hAnsiTheme="majorHAnsi" w:cstheme="majorHAnsi"/>
          <w:szCs w:val="24"/>
        </w:rPr>
      </w:pPr>
      <w:r>
        <w:rPr>
          <w:rFonts w:asciiTheme="majorHAnsi" w:hAnsiTheme="majorHAnsi" w:cstheme="majorHAnsi"/>
          <w:szCs w:val="24"/>
        </w:rPr>
        <w:t xml:space="preserve">                                                              </w:t>
      </w:r>
      <w:r w:rsidR="0099746F">
        <w:rPr>
          <w:rFonts w:asciiTheme="majorHAnsi" w:hAnsiTheme="majorHAnsi" w:cstheme="majorHAnsi"/>
          <w:szCs w:val="24"/>
        </w:rPr>
        <w:t>Piotr Hanzel</w:t>
      </w:r>
      <w:r w:rsidRPr="00D96F9B">
        <w:rPr>
          <w:rFonts w:asciiTheme="majorHAnsi" w:hAnsiTheme="majorHAnsi" w:cstheme="majorHAnsi"/>
          <w:szCs w:val="24"/>
        </w:rPr>
        <w:t xml:space="preserve"> – </w:t>
      </w:r>
      <w:r w:rsidR="0099746F">
        <w:rPr>
          <w:rFonts w:asciiTheme="majorHAnsi" w:hAnsiTheme="majorHAnsi" w:cstheme="majorHAnsi"/>
          <w:szCs w:val="24"/>
        </w:rPr>
        <w:t xml:space="preserve">Z-ca </w:t>
      </w:r>
      <w:r w:rsidRPr="00D96F9B">
        <w:rPr>
          <w:rFonts w:asciiTheme="majorHAnsi" w:hAnsiTheme="majorHAnsi" w:cstheme="majorHAnsi"/>
          <w:szCs w:val="24"/>
        </w:rPr>
        <w:t>Burmistrz</w:t>
      </w:r>
      <w:r w:rsidR="0099746F">
        <w:rPr>
          <w:rFonts w:asciiTheme="majorHAnsi" w:hAnsiTheme="majorHAnsi" w:cstheme="majorHAnsi"/>
          <w:szCs w:val="24"/>
        </w:rPr>
        <w:t>a</w:t>
      </w:r>
      <w:r w:rsidRPr="00D96F9B">
        <w:rPr>
          <w:rFonts w:asciiTheme="majorHAnsi" w:hAnsiTheme="majorHAnsi" w:cstheme="majorHAnsi"/>
          <w:szCs w:val="24"/>
        </w:rPr>
        <w:t xml:space="preserve"> Miasta Skoczowa</w:t>
      </w:r>
    </w:p>
    <w:sectPr w:rsidR="00D96F9B" w:rsidRPr="00D96F9B" w:rsidSect="008F05CC">
      <w:headerReference w:type="default" r:id="rId8"/>
      <w:pgSz w:w="11906" w:h="16838"/>
      <w:pgMar w:top="1284"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BB57" w14:textId="77777777" w:rsidR="00705AE3" w:rsidRDefault="00705AE3" w:rsidP="00705AE3">
      <w:pPr>
        <w:spacing w:after="0" w:line="240" w:lineRule="auto"/>
      </w:pPr>
      <w:r>
        <w:separator/>
      </w:r>
    </w:p>
  </w:endnote>
  <w:endnote w:type="continuationSeparator" w:id="0">
    <w:p w14:paraId="23B0800D" w14:textId="77777777" w:rsidR="00705AE3" w:rsidRDefault="00705AE3" w:rsidP="0070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122D" w14:textId="77777777" w:rsidR="00705AE3" w:rsidRDefault="00705AE3" w:rsidP="00705AE3">
      <w:pPr>
        <w:spacing w:after="0" w:line="240" w:lineRule="auto"/>
      </w:pPr>
      <w:r>
        <w:separator/>
      </w:r>
    </w:p>
  </w:footnote>
  <w:footnote w:type="continuationSeparator" w:id="0">
    <w:p w14:paraId="31031717" w14:textId="77777777" w:rsidR="00705AE3" w:rsidRDefault="00705AE3" w:rsidP="00705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7" w:type="dxa"/>
      <w:tblInd w:w="212" w:type="dxa"/>
      <w:tblLayout w:type="fixed"/>
      <w:tblCellMar>
        <w:left w:w="70" w:type="dxa"/>
        <w:right w:w="70" w:type="dxa"/>
      </w:tblCellMar>
      <w:tblLook w:val="0000" w:firstRow="0" w:lastRow="0" w:firstColumn="0" w:lastColumn="0" w:noHBand="0" w:noVBand="0"/>
    </w:tblPr>
    <w:tblGrid>
      <w:gridCol w:w="1843"/>
      <w:gridCol w:w="7864"/>
    </w:tblGrid>
    <w:tr w:rsidR="00705AE3" w14:paraId="77FDC398" w14:textId="77777777" w:rsidTr="008F05CC">
      <w:trPr>
        <w:cantSplit/>
        <w:trHeight w:val="1418"/>
      </w:trPr>
      <w:tc>
        <w:tcPr>
          <w:tcW w:w="1843" w:type="dxa"/>
        </w:tcPr>
        <w:p w14:paraId="6125AF17" w14:textId="77777777" w:rsidR="00705AE3" w:rsidRDefault="00705AE3" w:rsidP="00705AE3">
          <w:pPr>
            <w:pStyle w:val="Nagwek"/>
            <w:tabs>
              <w:tab w:val="clear" w:pos="4536"/>
              <w:tab w:val="clear" w:pos="9072"/>
            </w:tabs>
            <w:snapToGrid w:val="0"/>
            <w:rPr>
              <w:rFonts w:ascii="Comic Sans MS" w:hAnsi="Comic Sans MS"/>
              <w:spacing w:val="-20"/>
              <w:sz w:val="10"/>
              <w:szCs w:val="10"/>
            </w:rPr>
          </w:pPr>
          <w:r w:rsidRPr="000F59BD">
            <w:rPr>
              <w:noProof/>
            </w:rPr>
            <w:drawing>
              <wp:inline distT="0" distB="0" distL="0" distR="0" wp14:anchorId="5D45998D" wp14:editId="52208F76">
                <wp:extent cx="847725" cy="866775"/>
                <wp:effectExtent l="0" t="0" r="9525" b="9525"/>
                <wp:docPr id="20880679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solidFill>
                          <a:srgbClr val="FFFFFF"/>
                        </a:solidFill>
                        <a:ln>
                          <a:noFill/>
                        </a:ln>
                      </pic:spPr>
                    </pic:pic>
                  </a:graphicData>
                </a:graphic>
              </wp:inline>
            </w:drawing>
          </w:r>
        </w:p>
        <w:p w14:paraId="7DBAF598" w14:textId="77777777" w:rsidR="00705AE3" w:rsidRDefault="00705AE3" w:rsidP="00705AE3">
          <w:pPr>
            <w:pStyle w:val="Nagwek"/>
            <w:tabs>
              <w:tab w:val="clear" w:pos="4536"/>
              <w:tab w:val="clear" w:pos="9072"/>
            </w:tabs>
            <w:snapToGrid w:val="0"/>
            <w:rPr>
              <w:rFonts w:ascii="Comic Sans MS" w:hAnsi="Comic Sans MS"/>
              <w:spacing w:val="-20"/>
              <w:sz w:val="10"/>
              <w:szCs w:val="10"/>
            </w:rPr>
          </w:pPr>
        </w:p>
        <w:p w14:paraId="086CCC2C" w14:textId="77777777" w:rsidR="00705AE3" w:rsidRPr="0052706D" w:rsidRDefault="00705AE3" w:rsidP="00705AE3">
          <w:pPr>
            <w:pStyle w:val="Nagwek"/>
            <w:tabs>
              <w:tab w:val="clear" w:pos="4536"/>
              <w:tab w:val="clear" w:pos="9072"/>
            </w:tabs>
            <w:snapToGrid w:val="0"/>
            <w:rPr>
              <w:rFonts w:ascii="Comic Sans MS" w:hAnsi="Comic Sans MS"/>
              <w:spacing w:val="-20"/>
              <w:sz w:val="10"/>
              <w:szCs w:val="10"/>
            </w:rPr>
          </w:pPr>
        </w:p>
      </w:tc>
      <w:tc>
        <w:tcPr>
          <w:tcW w:w="7864" w:type="dxa"/>
        </w:tcPr>
        <w:p w14:paraId="50E16284" w14:textId="77777777" w:rsidR="00705AE3" w:rsidRPr="005D7E21" w:rsidRDefault="00705AE3" w:rsidP="00705AE3">
          <w:pPr>
            <w:pStyle w:val="Nagwek"/>
            <w:tabs>
              <w:tab w:val="clear" w:pos="4536"/>
              <w:tab w:val="clear" w:pos="9072"/>
            </w:tabs>
            <w:snapToGrid w:val="0"/>
            <w:ind w:left="72"/>
            <w:jc w:val="center"/>
            <w:textAlignment w:val="center"/>
            <w:rPr>
              <w:rFonts w:ascii="Courier New" w:hAnsi="Courier New"/>
              <w:b/>
              <w:bCs/>
              <w:spacing w:val="-20"/>
              <w:sz w:val="32"/>
              <w:szCs w:val="32"/>
            </w:rPr>
          </w:pPr>
        </w:p>
        <w:p w14:paraId="718D3412" w14:textId="77777777" w:rsidR="00705AE3" w:rsidRPr="00C5691E" w:rsidRDefault="00705AE3" w:rsidP="00705AE3">
          <w:pPr>
            <w:pStyle w:val="Nagwek"/>
            <w:tabs>
              <w:tab w:val="clear" w:pos="4536"/>
              <w:tab w:val="clear" w:pos="9072"/>
            </w:tabs>
            <w:snapToGrid w:val="0"/>
            <w:ind w:left="72"/>
            <w:jc w:val="center"/>
            <w:textAlignment w:val="center"/>
            <w:rPr>
              <w:rFonts w:ascii="Courier New" w:hAnsi="Courier New"/>
              <w:b/>
              <w:bCs/>
              <w:spacing w:val="-20"/>
              <w:sz w:val="40"/>
              <w:szCs w:val="40"/>
            </w:rPr>
          </w:pPr>
          <w:r w:rsidRPr="00C5691E">
            <w:rPr>
              <w:rFonts w:ascii="Courier New" w:hAnsi="Courier New"/>
              <w:b/>
              <w:bCs/>
              <w:spacing w:val="-20"/>
              <w:sz w:val="40"/>
              <w:szCs w:val="40"/>
            </w:rPr>
            <w:t>Urząd Miejski w Skoczowie</w:t>
          </w:r>
        </w:p>
        <w:p w14:paraId="511399BD" w14:textId="77777777" w:rsidR="00705AE3" w:rsidRDefault="00705AE3" w:rsidP="00705AE3">
          <w:pPr>
            <w:pStyle w:val="Nagwek"/>
            <w:tabs>
              <w:tab w:val="clear" w:pos="4536"/>
              <w:tab w:val="clear" w:pos="9072"/>
              <w:tab w:val="left" w:pos="1185"/>
            </w:tabs>
            <w:snapToGrid w:val="0"/>
            <w:textAlignment w:val="center"/>
            <w:rPr>
              <w:rFonts w:ascii="Courier New" w:hAnsi="Courier New"/>
              <w:b/>
              <w:bCs/>
              <w:spacing w:val="-20"/>
              <w:sz w:val="48"/>
            </w:rPr>
          </w:pPr>
          <w:r>
            <w:rPr>
              <w:rFonts w:ascii="Courier New" w:hAnsi="Courier New"/>
              <w:b/>
              <w:bCs/>
              <w:spacing w:val="-20"/>
              <w:sz w:val="48"/>
            </w:rPr>
            <w:tab/>
          </w:r>
        </w:p>
      </w:tc>
    </w:tr>
  </w:tbl>
  <w:p w14:paraId="2F9C800E" w14:textId="77777777" w:rsidR="00705AE3" w:rsidRDefault="00705A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45D0"/>
    <w:multiLevelType w:val="hybridMultilevel"/>
    <w:tmpl w:val="209E92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847CF3"/>
    <w:multiLevelType w:val="hybridMultilevel"/>
    <w:tmpl w:val="23F265C4"/>
    <w:lvl w:ilvl="0" w:tplc="7FB81488">
      <w:start w:val="1"/>
      <w:numFmt w:val="lowerLetter"/>
      <w:lvlText w:val="%1)"/>
      <w:lvlJc w:val="left"/>
      <w:pPr>
        <w:ind w:left="1125" w:hanging="360"/>
      </w:pPr>
      <w:rPr>
        <w:rFonts w:hint="default"/>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 w15:restartNumberingAfterBreak="0">
    <w:nsid w:val="12EC237A"/>
    <w:multiLevelType w:val="hybridMultilevel"/>
    <w:tmpl w:val="19005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619CF"/>
    <w:multiLevelType w:val="multilevel"/>
    <w:tmpl w:val="A6E8999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2052E"/>
    <w:multiLevelType w:val="hybridMultilevel"/>
    <w:tmpl w:val="E01666F0"/>
    <w:lvl w:ilvl="0" w:tplc="6F1E7150">
      <w:start w:val="1"/>
      <w:numFmt w:val="decimal"/>
      <w:lvlText w:val="%1)"/>
      <w:lvlJc w:val="left"/>
      <w:pPr>
        <w:ind w:left="786" w:hanging="360"/>
      </w:pPr>
      <w:rPr>
        <w:rFonts w:ascii="Calibri Light" w:eastAsia="Times New Roman" w:hAnsi="Calibri Light" w:cs="Calibri Ligh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39912ED4"/>
    <w:multiLevelType w:val="hybridMultilevel"/>
    <w:tmpl w:val="39B6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D107B0"/>
    <w:multiLevelType w:val="hybridMultilevel"/>
    <w:tmpl w:val="57720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B4B26"/>
    <w:multiLevelType w:val="hybridMultilevel"/>
    <w:tmpl w:val="40A8E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076856"/>
    <w:multiLevelType w:val="hybridMultilevel"/>
    <w:tmpl w:val="E91A16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312A0"/>
    <w:multiLevelType w:val="hybridMultilevel"/>
    <w:tmpl w:val="267CD60E"/>
    <w:lvl w:ilvl="0" w:tplc="CCC42FE8">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D5230E"/>
    <w:multiLevelType w:val="multilevel"/>
    <w:tmpl w:val="0040D3C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610D13"/>
    <w:multiLevelType w:val="hybridMultilevel"/>
    <w:tmpl w:val="0A9AF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7C2AEA"/>
    <w:multiLevelType w:val="hybridMultilevel"/>
    <w:tmpl w:val="A068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E2615"/>
    <w:multiLevelType w:val="hybridMultilevel"/>
    <w:tmpl w:val="184ECB00"/>
    <w:lvl w:ilvl="0" w:tplc="36769B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C6F7158"/>
    <w:multiLevelType w:val="hybridMultilevel"/>
    <w:tmpl w:val="F6F842EE"/>
    <w:lvl w:ilvl="0" w:tplc="3740FD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840655593">
    <w:abstractNumId w:val="6"/>
  </w:num>
  <w:num w:numId="2" w16cid:durableId="1234002380">
    <w:abstractNumId w:val="4"/>
  </w:num>
  <w:num w:numId="3" w16cid:durableId="1279220426">
    <w:abstractNumId w:val="11"/>
  </w:num>
  <w:num w:numId="4" w16cid:durableId="1194883406">
    <w:abstractNumId w:val="12"/>
  </w:num>
  <w:num w:numId="5" w16cid:durableId="2002809493">
    <w:abstractNumId w:val="15"/>
  </w:num>
  <w:num w:numId="6" w16cid:durableId="1824620005">
    <w:abstractNumId w:val="3"/>
  </w:num>
  <w:num w:numId="7" w16cid:durableId="1135486968">
    <w:abstractNumId w:val="16"/>
  </w:num>
  <w:num w:numId="8" w16cid:durableId="1083141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112009">
    <w:abstractNumId w:val="8"/>
  </w:num>
  <w:num w:numId="10" w16cid:durableId="850797591">
    <w:abstractNumId w:val="1"/>
  </w:num>
  <w:num w:numId="11" w16cid:durableId="835730115">
    <w:abstractNumId w:val="10"/>
  </w:num>
  <w:num w:numId="12" w16cid:durableId="1810828879">
    <w:abstractNumId w:val="7"/>
  </w:num>
  <w:num w:numId="13" w16cid:durableId="1195538635">
    <w:abstractNumId w:val="0"/>
  </w:num>
  <w:num w:numId="14" w16cid:durableId="347098193">
    <w:abstractNumId w:val="2"/>
  </w:num>
  <w:num w:numId="15" w16cid:durableId="2125683940">
    <w:abstractNumId w:val="14"/>
  </w:num>
  <w:num w:numId="16" w16cid:durableId="923953344">
    <w:abstractNumId w:val="13"/>
  </w:num>
  <w:num w:numId="17" w16cid:durableId="768934987">
    <w:abstractNumId w:val="5"/>
  </w:num>
  <w:num w:numId="18" w16cid:durableId="528690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E"/>
    <w:rsid w:val="00025AF9"/>
    <w:rsid w:val="000A604B"/>
    <w:rsid w:val="00107D45"/>
    <w:rsid w:val="00141BAF"/>
    <w:rsid w:val="001730EB"/>
    <w:rsid w:val="0018229E"/>
    <w:rsid w:val="00191D1E"/>
    <w:rsid w:val="001D77E6"/>
    <w:rsid w:val="001E6213"/>
    <w:rsid w:val="0022217B"/>
    <w:rsid w:val="00223F04"/>
    <w:rsid w:val="00237596"/>
    <w:rsid w:val="00287251"/>
    <w:rsid w:val="002921DD"/>
    <w:rsid w:val="002B16BD"/>
    <w:rsid w:val="002D263F"/>
    <w:rsid w:val="003015A5"/>
    <w:rsid w:val="00321238"/>
    <w:rsid w:val="00344C96"/>
    <w:rsid w:val="003D2189"/>
    <w:rsid w:val="003D6A46"/>
    <w:rsid w:val="00404CD7"/>
    <w:rsid w:val="00411BBF"/>
    <w:rsid w:val="00482678"/>
    <w:rsid w:val="00497C4D"/>
    <w:rsid w:val="004A68AA"/>
    <w:rsid w:val="004B0C5D"/>
    <w:rsid w:val="004C19DE"/>
    <w:rsid w:val="005021E3"/>
    <w:rsid w:val="00503344"/>
    <w:rsid w:val="00520A06"/>
    <w:rsid w:val="00575E40"/>
    <w:rsid w:val="00585A9C"/>
    <w:rsid w:val="005B559F"/>
    <w:rsid w:val="005E5E87"/>
    <w:rsid w:val="005F0429"/>
    <w:rsid w:val="006017EC"/>
    <w:rsid w:val="00654441"/>
    <w:rsid w:val="00684C88"/>
    <w:rsid w:val="00695421"/>
    <w:rsid w:val="006E48AE"/>
    <w:rsid w:val="00705AE3"/>
    <w:rsid w:val="007819F9"/>
    <w:rsid w:val="00794A18"/>
    <w:rsid w:val="007A21C6"/>
    <w:rsid w:val="007A5BC9"/>
    <w:rsid w:val="007C45DB"/>
    <w:rsid w:val="007D3632"/>
    <w:rsid w:val="007E1E6F"/>
    <w:rsid w:val="007F0682"/>
    <w:rsid w:val="0082264B"/>
    <w:rsid w:val="0083658D"/>
    <w:rsid w:val="008C3D61"/>
    <w:rsid w:val="008D12BA"/>
    <w:rsid w:val="008F05CC"/>
    <w:rsid w:val="008F4CC2"/>
    <w:rsid w:val="0096710E"/>
    <w:rsid w:val="0099619B"/>
    <w:rsid w:val="0099746F"/>
    <w:rsid w:val="009F4EB5"/>
    <w:rsid w:val="00A01112"/>
    <w:rsid w:val="00A0459C"/>
    <w:rsid w:val="00A1516C"/>
    <w:rsid w:val="00A406A0"/>
    <w:rsid w:val="00A65F7F"/>
    <w:rsid w:val="00A678BD"/>
    <w:rsid w:val="00AB5577"/>
    <w:rsid w:val="00AE14E9"/>
    <w:rsid w:val="00B071CD"/>
    <w:rsid w:val="00B94072"/>
    <w:rsid w:val="00BD75A8"/>
    <w:rsid w:val="00C3633F"/>
    <w:rsid w:val="00CD5D73"/>
    <w:rsid w:val="00CE1063"/>
    <w:rsid w:val="00CE5232"/>
    <w:rsid w:val="00CF438A"/>
    <w:rsid w:val="00D16A30"/>
    <w:rsid w:val="00D26EB4"/>
    <w:rsid w:val="00D76875"/>
    <w:rsid w:val="00D8270E"/>
    <w:rsid w:val="00D86BE7"/>
    <w:rsid w:val="00D96F9B"/>
    <w:rsid w:val="00E03335"/>
    <w:rsid w:val="00E61231"/>
    <w:rsid w:val="00E75DF2"/>
    <w:rsid w:val="00E77B25"/>
    <w:rsid w:val="00E81D9C"/>
    <w:rsid w:val="00E92064"/>
    <w:rsid w:val="00EA7374"/>
    <w:rsid w:val="00EB07B3"/>
    <w:rsid w:val="00F03E30"/>
    <w:rsid w:val="00F31A3A"/>
    <w:rsid w:val="00F3502A"/>
    <w:rsid w:val="00F46047"/>
    <w:rsid w:val="00F95FDF"/>
    <w:rsid w:val="00FE0AC0"/>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3A467C"/>
  <w15:chartTrackingRefBased/>
  <w15:docId w15:val="{28167885-F381-4DDE-A840-E3CDA79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4441"/>
    <w:pPr>
      <w:spacing w:line="360" w:lineRule="auto"/>
    </w:pPr>
    <w:rPr>
      <w:sz w:val="24"/>
    </w:rPr>
  </w:style>
  <w:style w:type="paragraph" w:styleId="Nagwek2">
    <w:name w:val="heading 2"/>
    <w:basedOn w:val="Normalny"/>
    <w:link w:val="Nagwek2Znak"/>
    <w:uiPriority w:val="9"/>
    <w:semiHidden/>
    <w:unhideWhenUsed/>
    <w:qFormat/>
    <w:rsid w:val="00223F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96710E"/>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705AE3"/>
    <w:pPr>
      <w:tabs>
        <w:tab w:val="center" w:pos="4536"/>
        <w:tab w:val="right" w:pos="9072"/>
      </w:tabs>
      <w:spacing w:after="0" w:line="240" w:lineRule="auto"/>
    </w:pPr>
  </w:style>
  <w:style w:type="character" w:customStyle="1" w:styleId="NagwekZnak">
    <w:name w:val="Nagłówek Znak"/>
    <w:basedOn w:val="Domylnaczcionkaakapitu"/>
    <w:link w:val="Nagwek"/>
    <w:rsid w:val="00705AE3"/>
  </w:style>
  <w:style w:type="paragraph" w:styleId="Stopka">
    <w:name w:val="footer"/>
    <w:basedOn w:val="Normalny"/>
    <w:link w:val="StopkaZnak"/>
    <w:uiPriority w:val="99"/>
    <w:unhideWhenUsed/>
    <w:rsid w:val="00705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AE3"/>
  </w:style>
  <w:style w:type="paragraph" w:styleId="Tekstpodstawowywcity2">
    <w:name w:val="Body Text Indent 2"/>
    <w:basedOn w:val="Normalny"/>
    <w:link w:val="Tekstpodstawowywcity2Znak"/>
    <w:rsid w:val="00E9206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920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semiHidden/>
    <w:rsid w:val="00223F04"/>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23F04"/>
    <w:rPr>
      <w:color w:val="0000FF"/>
      <w:u w:val="single"/>
    </w:rPr>
  </w:style>
  <w:style w:type="character" w:styleId="Pogrubienie">
    <w:name w:val="Strong"/>
    <w:basedOn w:val="Domylnaczcionkaakapitu"/>
    <w:uiPriority w:val="22"/>
    <w:qFormat/>
    <w:rsid w:val="00223F04"/>
    <w:rPr>
      <w:b/>
      <w:bCs/>
    </w:rPr>
  </w:style>
  <w:style w:type="paragraph" w:customStyle="1" w:styleId="Default">
    <w:name w:val="Default"/>
    <w:rsid w:val="00B071CD"/>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94A18"/>
    <w:pPr>
      <w:suppressAutoHyphens/>
      <w:autoSpaceDN w:val="0"/>
      <w:spacing w:after="0" w:line="240" w:lineRule="auto"/>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3863">
      <w:bodyDiv w:val="1"/>
      <w:marLeft w:val="0"/>
      <w:marRight w:val="0"/>
      <w:marTop w:val="0"/>
      <w:marBottom w:val="0"/>
      <w:divBdr>
        <w:top w:val="none" w:sz="0" w:space="0" w:color="auto"/>
        <w:left w:val="none" w:sz="0" w:space="0" w:color="auto"/>
        <w:bottom w:val="none" w:sz="0" w:space="0" w:color="auto"/>
        <w:right w:val="none" w:sz="0" w:space="0" w:color="auto"/>
      </w:divBdr>
    </w:div>
    <w:div w:id="255984801">
      <w:bodyDiv w:val="1"/>
      <w:marLeft w:val="0"/>
      <w:marRight w:val="0"/>
      <w:marTop w:val="0"/>
      <w:marBottom w:val="0"/>
      <w:divBdr>
        <w:top w:val="none" w:sz="0" w:space="0" w:color="auto"/>
        <w:left w:val="none" w:sz="0" w:space="0" w:color="auto"/>
        <w:bottom w:val="none" w:sz="0" w:space="0" w:color="auto"/>
        <w:right w:val="none" w:sz="0" w:space="0" w:color="auto"/>
      </w:divBdr>
    </w:div>
    <w:div w:id="349451971">
      <w:bodyDiv w:val="1"/>
      <w:marLeft w:val="0"/>
      <w:marRight w:val="0"/>
      <w:marTop w:val="0"/>
      <w:marBottom w:val="0"/>
      <w:divBdr>
        <w:top w:val="none" w:sz="0" w:space="0" w:color="auto"/>
        <w:left w:val="none" w:sz="0" w:space="0" w:color="auto"/>
        <w:bottom w:val="none" w:sz="0" w:space="0" w:color="auto"/>
        <w:right w:val="none" w:sz="0" w:space="0" w:color="auto"/>
      </w:divBdr>
    </w:div>
    <w:div w:id="1116831262">
      <w:bodyDiv w:val="1"/>
      <w:marLeft w:val="0"/>
      <w:marRight w:val="0"/>
      <w:marTop w:val="0"/>
      <w:marBottom w:val="0"/>
      <w:divBdr>
        <w:top w:val="none" w:sz="0" w:space="0" w:color="auto"/>
        <w:left w:val="none" w:sz="0" w:space="0" w:color="auto"/>
        <w:bottom w:val="none" w:sz="0" w:space="0" w:color="auto"/>
        <w:right w:val="none" w:sz="0" w:space="0" w:color="auto"/>
      </w:divBdr>
    </w:div>
    <w:div w:id="17844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8753-41E4-45F7-ABF5-7328FB75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4</Pages>
  <Words>968</Words>
  <Characters>5809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Katarzyna Doleszczak-Jakubiec</cp:lastModifiedBy>
  <cp:revision>25</cp:revision>
  <cp:lastPrinted>2025-01-17T10:39:00Z</cp:lastPrinted>
  <dcterms:created xsi:type="dcterms:W3CDTF">2024-03-19T08:19:00Z</dcterms:created>
  <dcterms:modified xsi:type="dcterms:W3CDTF">2025-01-17T11:22:00Z</dcterms:modified>
</cp:coreProperties>
</file>