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4850" w14:textId="624FDA01" w:rsidR="00667616" w:rsidRPr="00941977" w:rsidRDefault="0011636A" w:rsidP="00941977">
      <w:pPr>
        <w:spacing w:line="276" w:lineRule="auto"/>
        <w:jc w:val="right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Wałbrzych</w:t>
      </w:r>
      <w:r w:rsidR="00667616" w:rsidRPr="00941977">
        <w:rPr>
          <w:rFonts w:ascii="Georgia" w:eastAsia="Times New Roman" w:hAnsi="Georgia"/>
        </w:rPr>
        <w:t xml:space="preserve">, dnia </w:t>
      </w:r>
      <w:r>
        <w:rPr>
          <w:rFonts w:ascii="Georgia" w:eastAsia="Times New Roman" w:hAnsi="Georgia"/>
        </w:rPr>
        <w:t>09.07.</w:t>
      </w:r>
      <w:r w:rsidR="00BE646A" w:rsidRPr="00941977">
        <w:rPr>
          <w:rFonts w:ascii="Georgia" w:eastAsia="Times New Roman" w:hAnsi="Georgia"/>
        </w:rPr>
        <w:t>202</w:t>
      </w:r>
      <w:r w:rsidR="009B6ADD">
        <w:rPr>
          <w:rFonts w:ascii="Georgia" w:eastAsia="Times New Roman" w:hAnsi="Georgia"/>
        </w:rPr>
        <w:t>4</w:t>
      </w:r>
      <w:r w:rsidR="00BE646A" w:rsidRPr="00941977">
        <w:rPr>
          <w:rFonts w:ascii="Georgia" w:eastAsia="Times New Roman" w:hAnsi="Georgia"/>
        </w:rPr>
        <w:t xml:space="preserve"> r. </w:t>
      </w:r>
    </w:p>
    <w:p w14:paraId="35A063AF" w14:textId="651D0803" w:rsidR="00667616" w:rsidRPr="00941977" w:rsidRDefault="00667616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25C95A52" w14:textId="389ABF9A" w:rsidR="00667616" w:rsidRPr="00941977" w:rsidRDefault="00667616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23B5392F" w14:textId="2C4ADF0C" w:rsidR="00667616" w:rsidRPr="00941977" w:rsidRDefault="00667616" w:rsidP="00941977">
      <w:pPr>
        <w:spacing w:line="276" w:lineRule="auto"/>
        <w:jc w:val="both"/>
        <w:rPr>
          <w:rFonts w:ascii="Georgia" w:eastAsia="Times New Roman" w:hAnsi="Georgia"/>
        </w:rPr>
      </w:pPr>
      <w:r w:rsidRPr="00941977">
        <w:rPr>
          <w:rFonts w:ascii="Georgia" w:eastAsia="Times New Roman" w:hAnsi="Georgia"/>
        </w:rPr>
        <w:t>Zamawiający:</w:t>
      </w:r>
    </w:p>
    <w:p w14:paraId="4ABBC913" w14:textId="77777777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 w:rsidRPr="0011636A">
        <w:rPr>
          <w:rFonts w:ascii="Georgia" w:eastAsia="Times New Roman" w:hAnsi="Georgia"/>
        </w:rPr>
        <w:t>Specjalistyczny Szpital im. dra Alfreda Sokołowskiego</w:t>
      </w:r>
    </w:p>
    <w:p w14:paraId="211DC0E3" w14:textId="77777777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 w:rsidRPr="0011636A">
        <w:rPr>
          <w:rFonts w:ascii="Georgia" w:eastAsia="Times New Roman" w:hAnsi="Georgia"/>
        </w:rPr>
        <w:t xml:space="preserve">ul. Sokołowskiego 4 </w:t>
      </w:r>
    </w:p>
    <w:p w14:paraId="41974AAD" w14:textId="0D7D75EC" w:rsidR="00667616" w:rsidRPr="00941977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 w:rsidRPr="0011636A">
        <w:rPr>
          <w:rFonts w:ascii="Georgia" w:eastAsia="Times New Roman" w:hAnsi="Georgia"/>
        </w:rPr>
        <w:t>58-309 Wałbrzych</w:t>
      </w:r>
    </w:p>
    <w:p w14:paraId="1DE47DF4" w14:textId="61C0B3C9" w:rsidR="00667616" w:rsidRPr="00941977" w:rsidRDefault="00667616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38BDFE10" w14:textId="6041AF62" w:rsidR="00667616" w:rsidRPr="00941977" w:rsidRDefault="00667616" w:rsidP="00941977">
      <w:pPr>
        <w:spacing w:line="276" w:lineRule="auto"/>
        <w:jc w:val="right"/>
        <w:rPr>
          <w:rFonts w:ascii="Georgia" w:eastAsia="Times New Roman" w:hAnsi="Georgia"/>
        </w:rPr>
      </w:pPr>
      <w:r w:rsidRPr="00941977">
        <w:rPr>
          <w:rFonts w:ascii="Georgia" w:eastAsia="Times New Roman" w:hAnsi="Georgia"/>
        </w:rPr>
        <w:t>Wykonawcy w postępowaniu</w:t>
      </w:r>
    </w:p>
    <w:p w14:paraId="52F220C9" w14:textId="2DE0A539" w:rsidR="00667616" w:rsidRPr="00941977" w:rsidRDefault="00667616" w:rsidP="00941977">
      <w:pPr>
        <w:spacing w:line="276" w:lineRule="auto"/>
        <w:jc w:val="right"/>
        <w:rPr>
          <w:rFonts w:ascii="Georgia" w:eastAsia="Times New Roman" w:hAnsi="Georgia"/>
        </w:rPr>
      </w:pPr>
    </w:p>
    <w:p w14:paraId="362909B8" w14:textId="2C1ED436" w:rsidR="0011636A" w:rsidRPr="0011636A" w:rsidRDefault="00667616" w:rsidP="0011636A">
      <w:pPr>
        <w:spacing w:line="276" w:lineRule="auto"/>
        <w:jc w:val="both"/>
        <w:rPr>
          <w:rFonts w:ascii="Georgia" w:eastAsia="Times New Roman" w:hAnsi="Georgia"/>
          <w:b/>
          <w:bCs/>
        </w:rPr>
      </w:pPr>
      <w:r w:rsidRPr="00941977">
        <w:rPr>
          <w:rFonts w:ascii="Georgia" w:eastAsia="Times New Roman" w:hAnsi="Georgia"/>
          <w:b/>
          <w:bCs/>
        </w:rPr>
        <w:t xml:space="preserve">Dot. postępowania prowadzonego w trybie </w:t>
      </w:r>
      <w:r w:rsidR="000F61FA" w:rsidRPr="00941977">
        <w:rPr>
          <w:rFonts w:ascii="Georgia" w:eastAsia="Times New Roman" w:hAnsi="Georgia"/>
          <w:b/>
          <w:bCs/>
        </w:rPr>
        <w:t>podstawowym</w:t>
      </w:r>
      <w:r w:rsidRPr="00941977">
        <w:rPr>
          <w:rFonts w:ascii="Georgia" w:eastAsia="Times New Roman" w:hAnsi="Georgia"/>
          <w:b/>
          <w:bCs/>
        </w:rPr>
        <w:t xml:space="preserve"> zgodnie z art. </w:t>
      </w:r>
      <w:r w:rsidR="000F61FA" w:rsidRPr="00941977">
        <w:rPr>
          <w:rFonts w:ascii="Georgia" w:eastAsia="Times New Roman" w:hAnsi="Georgia"/>
          <w:b/>
          <w:bCs/>
        </w:rPr>
        <w:t xml:space="preserve">275 pkt </w:t>
      </w:r>
      <w:r w:rsidR="0011636A">
        <w:rPr>
          <w:rFonts w:ascii="Georgia" w:eastAsia="Times New Roman" w:hAnsi="Georgia"/>
          <w:b/>
          <w:bCs/>
        </w:rPr>
        <w:t xml:space="preserve">2 </w:t>
      </w:r>
      <w:r w:rsidRPr="00941977">
        <w:rPr>
          <w:rFonts w:ascii="Georgia" w:eastAsia="Times New Roman" w:hAnsi="Georgia"/>
          <w:b/>
          <w:bCs/>
        </w:rPr>
        <w:t>Ustawy z dnia 11 września 2019 r. Prawo zamówień publicznych (Dz.U. z 202</w:t>
      </w:r>
      <w:r w:rsidR="0011636A">
        <w:rPr>
          <w:rFonts w:ascii="Georgia" w:eastAsia="Times New Roman" w:hAnsi="Georgia"/>
          <w:b/>
          <w:bCs/>
        </w:rPr>
        <w:t>3</w:t>
      </w:r>
      <w:r w:rsidRPr="00941977">
        <w:rPr>
          <w:rFonts w:ascii="Georgia" w:eastAsia="Times New Roman" w:hAnsi="Georgia"/>
          <w:b/>
          <w:bCs/>
        </w:rPr>
        <w:t xml:space="preserve"> r., poz. 1</w:t>
      </w:r>
      <w:r w:rsidR="0011636A">
        <w:rPr>
          <w:rFonts w:ascii="Georgia" w:eastAsia="Times New Roman" w:hAnsi="Georgia"/>
          <w:b/>
          <w:bCs/>
        </w:rPr>
        <w:t>605</w:t>
      </w:r>
      <w:r w:rsidRPr="00941977">
        <w:rPr>
          <w:rFonts w:ascii="Georgia" w:eastAsia="Times New Roman" w:hAnsi="Georgia"/>
          <w:b/>
          <w:bCs/>
        </w:rPr>
        <w:t xml:space="preserve"> ze zm.) pn. „</w:t>
      </w:r>
      <w:r w:rsidR="0011636A" w:rsidRPr="0011636A">
        <w:rPr>
          <w:rFonts w:ascii="Georgia" w:eastAsia="Times New Roman" w:hAnsi="Georgia"/>
          <w:b/>
          <w:bCs/>
        </w:rPr>
        <w:t>Budowa budynku tlenowni do obsługi sieci instalacji tlenowej dla potrzeb</w:t>
      </w:r>
      <w:r w:rsidR="0011636A">
        <w:rPr>
          <w:rFonts w:ascii="Georgia" w:eastAsia="Times New Roman" w:hAnsi="Georgia"/>
          <w:b/>
          <w:bCs/>
        </w:rPr>
        <w:t xml:space="preserve"> </w:t>
      </w:r>
      <w:r w:rsidR="0011636A" w:rsidRPr="0011636A">
        <w:rPr>
          <w:rFonts w:ascii="Georgia" w:eastAsia="Times New Roman" w:hAnsi="Georgia"/>
          <w:b/>
          <w:bCs/>
        </w:rPr>
        <w:t>Specjalistycznego Szpitala im. dra Alfreda Sokołowskiego w Wałbrzychu, dz. nr</w:t>
      </w:r>
    </w:p>
    <w:p w14:paraId="1E2F4C42" w14:textId="5B8483E2" w:rsidR="00667616" w:rsidRDefault="0011636A" w:rsidP="0011636A">
      <w:pPr>
        <w:spacing w:line="276" w:lineRule="auto"/>
        <w:jc w:val="both"/>
        <w:rPr>
          <w:rFonts w:ascii="Georgia" w:eastAsia="Times New Roman" w:hAnsi="Georgia"/>
          <w:b/>
          <w:bCs/>
        </w:rPr>
      </w:pPr>
      <w:r w:rsidRPr="0011636A">
        <w:rPr>
          <w:rFonts w:ascii="Georgia" w:eastAsia="Times New Roman" w:hAnsi="Georgia"/>
          <w:b/>
          <w:bCs/>
        </w:rPr>
        <w:t>4/2, obręb nr 13 Piaskowa Góra</w:t>
      </w:r>
      <w:r w:rsidR="009B6ADD" w:rsidRPr="009B6ADD">
        <w:rPr>
          <w:rFonts w:ascii="Georgia" w:eastAsia="Times New Roman" w:hAnsi="Georgia"/>
          <w:b/>
          <w:bCs/>
        </w:rPr>
        <w:t>”</w:t>
      </w:r>
    </w:p>
    <w:p w14:paraId="57BBD945" w14:textId="77777777" w:rsidR="009B6ADD" w:rsidRPr="00941977" w:rsidRDefault="009B6ADD" w:rsidP="00941977">
      <w:pPr>
        <w:spacing w:line="276" w:lineRule="auto"/>
        <w:jc w:val="both"/>
        <w:rPr>
          <w:rFonts w:ascii="Georgia" w:eastAsia="Times New Roman" w:hAnsi="Georgia"/>
          <w:b/>
          <w:bCs/>
        </w:rPr>
      </w:pPr>
    </w:p>
    <w:p w14:paraId="22D1CE6C" w14:textId="77777777" w:rsidR="00667616" w:rsidRPr="00941977" w:rsidRDefault="00667616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1122B19B" w14:textId="565B3894" w:rsidR="000F61FA" w:rsidRPr="00941977" w:rsidRDefault="000F61FA" w:rsidP="00941977">
      <w:pPr>
        <w:spacing w:line="276" w:lineRule="auto"/>
        <w:jc w:val="center"/>
        <w:rPr>
          <w:rFonts w:ascii="Georgia" w:eastAsia="Times New Roman" w:hAnsi="Georgia"/>
        </w:rPr>
      </w:pPr>
      <w:r w:rsidRPr="00941977">
        <w:rPr>
          <w:rFonts w:ascii="Georgia" w:eastAsia="Times New Roman" w:hAnsi="Georgia"/>
        </w:rPr>
        <w:t xml:space="preserve">ODPOWIEDZI NA PYTANIA </w:t>
      </w:r>
    </w:p>
    <w:p w14:paraId="2F899E2F" w14:textId="77777777" w:rsidR="00667616" w:rsidRPr="00941977" w:rsidRDefault="00667616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4AE66669" w14:textId="4C632EF4" w:rsidR="00A30E4C" w:rsidRPr="00941977" w:rsidRDefault="00667616" w:rsidP="00941977">
      <w:pPr>
        <w:spacing w:line="276" w:lineRule="auto"/>
        <w:jc w:val="both"/>
        <w:rPr>
          <w:rFonts w:ascii="Georgia" w:eastAsia="Times New Roman" w:hAnsi="Georgia"/>
        </w:rPr>
      </w:pPr>
      <w:r w:rsidRPr="00941977">
        <w:rPr>
          <w:rFonts w:ascii="Georgia" w:eastAsia="Times New Roman" w:hAnsi="Georgia"/>
        </w:rPr>
        <w:t xml:space="preserve">Zamawiający działając na podstawie art. </w:t>
      </w:r>
      <w:r w:rsidR="000F61FA" w:rsidRPr="00941977">
        <w:rPr>
          <w:rFonts w:ascii="Georgia" w:eastAsia="Times New Roman" w:hAnsi="Georgia"/>
        </w:rPr>
        <w:t>284</w:t>
      </w:r>
      <w:r w:rsidRPr="00941977">
        <w:rPr>
          <w:rFonts w:ascii="Georgia" w:eastAsia="Times New Roman" w:hAnsi="Georgia"/>
        </w:rPr>
        <w:t xml:space="preserve"> ust. 2 Ustawy z dnia 11 września 2019 r. Prawo zamówień publicznych (Dz.U. z 202</w:t>
      </w:r>
      <w:r w:rsidR="0011636A">
        <w:rPr>
          <w:rFonts w:ascii="Georgia" w:eastAsia="Times New Roman" w:hAnsi="Georgia"/>
        </w:rPr>
        <w:t>3</w:t>
      </w:r>
      <w:r w:rsidRPr="00941977">
        <w:rPr>
          <w:rFonts w:ascii="Georgia" w:eastAsia="Times New Roman" w:hAnsi="Georgia"/>
        </w:rPr>
        <w:t xml:space="preserve"> r., poz. 1</w:t>
      </w:r>
      <w:r w:rsidR="0011636A">
        <w:rPr>
          <w:rFonts w:ascii="Georgia" w:eastAsia="Times New Roman" w:hAnsi="Georgia"/>
        </w:rPr>
        <w:t>605</w:t>
      </w:r>
      <w:r w:rsidRPr="00941977">
        <w:rPr>
          <w:rFonts w:ascii="Georgia" w:eastAsia="Times New Roman" w:hAnsi="Georgia"/>
        </w:rPr>
        <w:t xml:space="preserve"> ze zm. dalej</w:t>
      </w:r>
      <w:r w:rsidR="000F61FA" w:rsidRPr="00941977">
        <w:rPr>
          <w:rFonts w:ascii="Georgia" w:eastAsia="Times New Roman" w:hAnsi="Georgia"/>
        </w:rPr>
        <w:t xml:space="preserve"> Ustawa</w:t>
      </w:r>
      <w:r w:rsidRPr="00941977">
        <w:rPr>
          <w:rFonts w:ascii="Georgia" w:eastAsia="Times New Roman" w:hAnsi="Georgia"/>
        </w:rPr>
        <w:t xml:space="preserve"> </w:t>
      </w:r>
      <w:proofErr w:type="spellStart"/>
      <w:r w:rsidRPr="00941977">
        <w:rPr>
          <w:rFonts w:ascii="Georgia" w:eastAsia="Times New Roman" w:hAnsi="Georgia"/>
        </w:rPr>
        <w:t>Pzp</w:t>
      </w:r>
      <w:proofErr w:type="spellEnd"/>
      <w:r w:rsidRPr="00941977">
        <w:rPr>
          <w:rFonts w:ascii="Georgia" w:eastAsia="Times New Roman" w:hAnsi="Georgia"/>
        </w:rPr>
        <w:t xml:space="preserve">) udziela odpowiedzi na pytania, które wpłynęły do Zamawiającego: </w:t>
      </w:r>
    </w:p>
    <w:p w14:paraId="5D8DEE98" w14:textId="77777777" w:rsidR="00667616" w:rsidRPr="00941977" w:rsidRDefault="00667616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0D84C228" w14:textId="078FBE55" w:rsidR="00A30E4C" w:rsidRDefault="009B6ADD" w:rsidP="00941977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Pytanie nr 1:</w:t>
      </w:r>
    </w:p>
    <w:p w14:paraId="24D46FFD" w14:textId="0BE42B5A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 w:rsidRPr="0011636A">
        <w:rPr>
          <w:rFonts w:ascii="Georgia" w:eastAsia="Times New Roman" w:hAnsi="Georgia"/>
        </w:rPr>
        <w:t>Według "Opisu Technicznego- PW" należy na ścianach wewnętrznych ułożyć płytki - brak takiej pozycji w przedmiarach.</w:t>
      </w:r>
    </w:p>
    <w:p w14:paraId="7313CC7E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</w:p>
    <w:p w14:paraId="5D6570CA" w14:textId="11B7ECFC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Odpowiedź Zamawiającego:</w:t>
      </w:r>
    </w:p>
    <w:p w14:paraId="5C109B7C" w14:textId="0429D9D7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Zamawiający wskazuje, że przedmiar jest jedynie materiałem pomocniczym umieszczonym dla Wykonawcy w celu ułatwienia analizy rozwiązań przyjętych w dokumentacji. Wykonawca dokonując wyceny realizacji robót powinien opierać się na dokumentacji projektowej.</w:t>
      </w:r>
    </w:p>
    <w:p w14:paraId="163F0D0B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</w:p>
    <w:p w14:paraId="6707DE91" w14:textId="16AA60A4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Pytanie nr </w:t>
      </w:r>
      <w:r>
        <w:rPr>
          <w:rFonts w:ascii="Georgia" w:eastAsia="Times New Roman" w:hAnsi="Georgia"/>
        </w:rPr>
        <w:t>2</w:t>
      </w:r>
      <w:r>
        <w:rPr>
          <w:rFonts w:ascii="Georgia" w:eastAsia="Times New Roman" w:hAnsi="Georgia"/>
        </w:rPr>
        <w:t>:</w:t>
      </w:r>
    </w:p>
    <w:p w14:paraId="04D8FFFA" w14:textId="568026DB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 w:rsidRPr="0011636A">
        <w:rPr>
          <w:rFonts w:ascii="Georgia" w:eastAsia="Times New Roman" w:hAnsi="Georgia"/>
        </w:rPr>
        <w:t>Zgodnie z opisem i rysunkiem nr 3 należy wykonać dwa daszki szklane - brak poz. w przedmiarach</w:t>
      </w:r>
    </w:p>
    <w:p w14:paraId="5E81E674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</w:p>
    <w:p w14:paraId="64BF1032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Odpowiedź Zamawiającego:</w:t>
      </w:r>
    </w:p>
    <w:p w14:paraId="53B4E01C" w14:textId="74785326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Zamawiający wskazuje, że przedmiar jest jedynie materiałem pomocniczym umieszczonym dla Wykonawcy w celu ułatwienia analizy rozwiązań przyjętych w dokumentacji. Wykonawca dokonując wyceny realizacji robót powinien opierać się na dokumentacji projektowej.</w:t>
      </w:r>
      <w:r w:rsidRPr="0011636A">
        <w:t xml:space="preserve"> </w:t>
      </w:r>
      <w:r w:rsidRPr="0011636A">
        <w:rPr>
          <w:rFonts w:ascii="Georgia" w:eastAsia="Times New Roman" w:hAnsi="Georgia"/>
        </w:rPr>
        <w:t>W związku z faktem, że wynagrodzenie jest wynagrodzeniem ryczałtowym Wykonawca samodzielnie określa wszystkie niezbędne elementy do realizacji przedsięwzięcia</w:t>
      </w:r>
      <w:r>
        <w:rPr>
          <w:rFonts w:ascii="Georgia" w:eastAsia="Times New Roman" w:hAnsi="Georgia"/>
        </w:rPr>
        <w:t>.</w:t>
      </w:r>
    </w:p>
    <w:p w14:paraId="26E971CA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</w:p>
    <w:p w14:paraId="4BD8AF72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</w:p>
    <w:p w14:paraId="7D51CE74" w14:textId="72EF9B00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Pytanie n</w:t>
      </w:r>
      <w:r>
        <w:rPr>
          <w:rFonts w:ascii="Georgia" w:eastAsia="Times New Roman" w:hAnsi="Georgia"/>
        </w:rPr>
        <w:t>r 3</w:t>
      </w:r>
      <w:r>
        <w:rPr>
          <w:rFonts w:ascii="Georgia" w:eastAsia="Times New Roman" w:hAnsi="Georgia"/>
        </w:rPr>
        <w:t>:</w:t>
      </w:r>
    </w:p>
    <w:p w14:paraId="13E0BCBD" w14:textId="62CB278E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 w:rsidRPr="0011636A">
        <w:rPr>
          <w:rFonts w:ascii="Georgia" w:eastAsia="Times New Roman" w:hAnsi="Georgia"/>
        </w:rPr>
        <w:t xml:space="preserve">W dokumentacji technicznej na rys. nie zaznaczono ocieplenia posadzki </w:t>
      </w:r>
      <w:proofErr w:type="gramStart"/>
      <w:r w:rsidRPr="0011636A">
        <w:rPr>
          <w:rFonts w:ascii="Georgia" w:eastAsia="Times New Roman" w:hAnsi="Georgia"/>
        </w:rPr>
        <w:t>styropianem ,</w:t>
      </w:r>
      <w:proofErr w:type="gramEnd"/>
      <w:r w:rsidRPr="0011636A">
        <w:rPr>
          <w:rFonts w:ascii="Georgia" w:eastAsia="Times New Roman" w:hAnsi="Georgia"/>
        </w:rPr>
        <w:t xml:space="preserve"> ułożenia płytek ściennych i podłogowych. Brak tych pozycji w przedmiarach</w:t>
      </w:r>
    </w:p>
    <w:p w14:paraId="143CA786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</w:p>
    <w:p w14:paraId="492A02D7" w14:textId="77777777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Odpowiedź Zamawiającego:</w:t>
      </w:r>
    </w:p>
    <w:p w14:paraId="17D7B43B" w14:textId="2A9EE0AE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Zamawiający wskazuje, że przedmiar jest jedynie materiałem pomocniczym umieszczonym dla Wykonawcy w celu ułatwienia analizy rozwiązań przyjętych w dokumentacji. Wykonawca dokonując wyceny realizacji robót powinien opierać się na dokumentacji projektowej.</w:t>
      </w:r>
      <w:r w:rsidRPr="0011636A">
        <w:t xml:space="preserve"> </w:t>
      </w:r>
      <w:r w:rsidRPr="0011636A">
        <w:rPr>
          <w:rFonts w:ascii="Georgia" w:eastAsia="Times New Roman" w:hAnsi="Georgia"/>
        </w:rPr>
        <w:t>W związku z faktem, że wynagrodzenie jest wynagrodzeniem ryczałtowym Wykonawca samodzielnie określa wszystkie niezbędne elementy do realizacji przedsięwzięcia</w:t>
      </w:r>
      <w:r>
        <w:rPr>
          <w:rFonts w:ascii="Georgia" w:eastAsia="Times New Roman" w:hAnsi="Georgia"/>
        </w:rPr>
        <w:t xml:space="preserve"> w celu realizacji założonego celu.</w:t>
      </w:r>
    </w:p>
    <w:p w14:paraId="37C1873F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</w:p>
    <w:p w14:paraId="1FED287D" w14:textId="09B2CF24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Pytanie nr 4:</w:t>
      </w:r>
    </w:p>
    <w:p w14:paraId="1BDFED3A" w14:textId="074D9D84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 w:rsidRPr="0011636A">
        <w:rPr>
          <w:rFonts w:ascii="Georgia" w:eastAsia="Times New Roman" w:hAnsi="Georgia"/>
        </w:rPr>
        <w:t>Brak dokumentacji i przedmiaru na nadbudowę płyty fundamentowej do wys. 30cm</w:t>
      </w:r>
    </w:p>
    <w:p w14:paraId="1F242DBC" w14:textId="77777777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</w:p>
    <w:p w14:paraId="18872DB8" w14:textId="77777777" w:rsidR="0011636A" w:rsidRP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Odpowiedź Zamawiającego:</w:t>
      </w:r>
    </w:p>
    <w:p w14:paraId="4772C1F2" w14:textId="38FF169A" w:rsidR="0011636A" w:rsidRDefault="0011636A" w:rsidP="0011636A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Zamawiający uzupełnia dokumentację o wskazany projekt nadbudowy. W zakresie informacji dot. przedmiaru, Zamawiający wskazuje, że przedmiar jest jedynie materiałem pomocniczym umieszczonym dla Wykonawcy w celu ułatwienia analizy rozwiązań przyjętych w dokumentacji. Wykonawca dokonując wyceny realizacji robót powinien opierać się na dokumentacji projektowej. </w:t>
      </w:r>
    </w:p>
    <w:p w14:paraId="29C2306B" w14:textId="77777777" w:rsidR="0011636A" w:rsidRDefault="0011636A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3045D967" w14:textId="77777777" w:rsidR="0011636A" w:rsidRDefault="0011636A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018851F8" w14:textId="25FB6D5E" w:rsidR="0011636A" w:rsidRDefault="0011636A" w:rsidP="00941977">
      <w:pPr>
        <w:spacing w:line="276" w:lineRule="auto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Załącznik nr 1: P</w:t>
      </w:r>
      <w:r w:rsidRPr="0011636A">
        <w:rPr>
          <w:rFonts w:ascii="Georgia" w:eastAsia="Times New Roman" w:hAnsi="Georgia"/>
        </w:rPr>
        <w:t>rojekt płyty fundamentowej o której jest mowa w PB i przedmiarze poz. 56</w:t>
      </w:r>
    </w:p>
    <w:p w14:paraId="6D162E38" w14:textId="77777777" w:rsidR="009B6ADD" w:rsidRDefault="009B6ADD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730BCD79" w14:textId="77777777" w:rsidR="009B6ADD" w:rsidRPr="00941977" w:rsidRDefault="009B6ADD" w:rsidP="00941977">
      <w:pPr>
        <w:spacing w:line="276" w:lineRule="auto"/>
        <w:jc w:val="both"/>
        <w:rPr>
          <w:rFonts w:ascii="Georgia" w:eastAsia="Times New Roman" w:hAnsi="Georgia"/>
        </w:rPr>
      </w:pPr>
    </w:p>
    <w:p w14:paraId="4D5D639C" w14:textId="77777777" w:rsidR="00941977" w:rsidRDefault="00941977" w:rsidP="00941977">
      <w:pPr>
        <w:spacing w:line="276" w:lineRule="auto"/>
        <w:jc w:val="right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Natalia </w:t>
      </w:r>
      <w:proofErr w:type="spellStart"/>
      <w:r>
        <w:rPr>
          <w:rFonts w:ascii="Georgia" w:eastAsia="Times New Roman" w:hAnsi="Georgia"/>
        </w:rPr>
        <w:t>Miłostan</w:t>
      </w:r>
      <w:proofErr w:type="spellEnd"/>
    </w:p>
    <w:p w14:paraId="69FAA53F" w14:textId="249A4532" w:rsidR="00BE646A" w:rsidRPr="00941977" w:rsidRDefault="00BE646A" w:rsidP="00941977">
      <w:pPr>
        <w:spacing w:line="276" w:lineRule="auto"/>
        <w:jc w:val="right"/>
        <w:rPr>
          <w:rFonts w:ascii="Georgia" w:eastAsia="Times New Roman" w:hAnsi="Georgia"/>
        </w:rPr>
      </w:pPr>
      <w:r w:rsidRPr="00941977">
        <w:rPr>
          <w:rFonts w:ascii="Georgia" w:eastAsia="Times New Roman" w:hAnsi="Georgia"/>
        </w:rPr>
        <w:t>Podmiot prowadzący</w:t>
      </w:r>
    </w:p>
    <w:p w14:paraId="73B5716F" w14:textId="6D6E3942" w:rsidR="00BE646A" w:rsidRPr="00941977" w:rsidRDefault="00BE646A" w:rsidP="00941977">
      <w:pPr>
        <w:spacing w:line="276" w:lineRule="auto"/>
        <w:jc w:val="right"/>
        <w:rPr>
          <w:rFonts w:ascii="Georgia" w:eastAsia="Times New Roman" w:hAnsi="Georgia"/>
        </w:rPr>
      </w:pPr>
      <w:r w:rsidRPr="00941977">
        <w:rPr>
          <w:rFonts w:ascii="Georgia" w:eastAsia="Times New Roman" w:hAnsi="Georgia"/>
        </w:rPr>
        <w:t>Pomocnicze działania zakupowe</w:t>
      </w:r>
    </w:p>
    <w:sectPr w:rsidR="00BE646A" w:rsidRPr="0094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9F19" w14:textId="77777777" w:rsidR="00AF4054" w:rsidRDefault="00AF4054" w:rsidP="0080605D">
      <w:r>
        <w:separator/>
      </w:r>
    </w:p>
  </w:endnote>
  <w:endnote w:type="continuationSeparator" w:id="0">
    <w:p w14:paraId="4AA8E42B" w14:textId="77777777" w:rsidR="00AF4054" w:rsidRDefault="00AF4054" w:rsidP="0080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780F" w14:textId="77777777" w:rsidR="00AF4054" w:rsidRDefault="00AF4054" w:rsidP="0080605D">
      <w:r>
        <w:separator/>
      </w:r>
    </w:p>
  </w:footnote>
  <w:footnote w:type="continuationSeparator" w:id="0">
    <w:p w14:paraId="221D74AB" w14:textId="77777777" w:rsidR="00AF4054" w:rsidRDefault="00AF4054" w:rsidP="0080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20F3"/>
    <w:multiLevelType w:val="hybridMultilevel"/>
    <w:tmpl w:val="67DE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644"/>
    <w:multiLevelType w:val="hybridMultilevel"/>
    <w:tmpl w:val="6C5C788E"/>
    <w:lvl w:ilvl="0" w:tplc="84FC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2B9"/>
    <w:multiLevelType w:val="hybridMultilevel"/>
    <w:tmpl w:val="75DCE63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830FCB"/>
    <w:multiLevelType w:val="hybridMultilevel"/>
    <w:tmpl w:val="65225618"/>
    <w:lvl w:ilvl="0" w:tplc="C790718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0301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3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FC1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E66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0C2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E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E03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6E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D10A1"/>
    <w:multiLevelType w:val="multilevel"/>
    <w:tmpl w:val="676875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745C4A"/>
    <w:multiLevelType w:val="hybridMultilevel"/>
    <w:tmpl w:val="A1F25076"/>
    <w:lvl w:ilvl="0" w:tplc="DEB2C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047AC"/>
    <w:multiLevelType w:val="hybridMultilevel"/>
    <w:tmpl w:val="048CE6E0"/>
    <w:lvl w:ilvl="0" w:tplc="9C3E7D0E">
      <w:start w:val="1"/>
      <w:numFmt w:val="decimal"/>
      <w:lvlText w:val="%1)"/>
      <w:lvlJc w:val="left"/>
      <w:pPr>
        <w:ind w:left="1429" w:hanging="360"/>
      </w:pPr>
      <w:rPr>
        <w:rFonts w:ascii="Arial Narrow" w:eastAsia="Calibri" w:hAnsi="Arial Narrow" w:cs="Arial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59156A"/>
    <w:multiLevelType w:val="multilevel"/>
    <w:tmpl w:val="6714EE9A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3559"/>
    <w:multiLevelType w:val="multilevel"/>
    <w:tmpl w:val="676875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D923F12"/>
    <w:multiLevelType w:val="hybridMultilevel"/>
    <w:tmpl w:val="7022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8118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 w16cid:durableId="2109538500">
    <w:abstractNumId w:val="3"/>
  </w:num>
  <w:num w:numId="2" w16cid:durableId="300383570">
    <w:abstractNumId w:val="9"/>
  </w:num>
  <w:num w:numId="3" w16cid:durableId="427821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024622">
    <w:abstractNumId w:val="5"/>
  </w:num>
  <w:num w:numId="5" w16cid:durableId="1226839341">
    <w:abstractNumId w:val="2"/>
  </w:num>
  <w:num w:numId="6" w16cid:durableId="1252472957">
    <w:abstractNumId w:val="6"/>
  </w:num>
  <w:num w:numId="7" w16cid:durableId="772937278">
    <w:abstractNumId w:val="4"/>
  </w:num>
  <w:num w:numId="8" w16cid:durableId="1314941849">
    <w:abstractNumId w:val="8"/>
  </w:num>
  <w:num w:numId="9" w16cid:durableId="1952322402">
    <w:abstractNumId w:val="10"/>
  </w:num>
  <w:num w:numId="10" w16cid:durableId="1195146873">
    <w:abstractNumId w:val="0"/>
  </w:num>
  <w:num w:numId="11" w16cid:durableId="213497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5D"/>
    <w:rsid w:val="00052774"/>
    <w:rsid w:val="000F61FA"/>
    <w:rsid w:val="0011636A"/>
    <w:rsid w:val="00147B0C"/>
    <w:rsid w:val="001570A2"/>
    <w:rsid w:val="001D21AE"/>
    <w:rsid w:val="001F3746"/>
    <w:rsid w:val="002C1A82"/>
    <w:rsid w:val="00306B7A"/>
    <w:rsid w:val="00490996"/>
    <w:rsid w:val="00492ECC"/>
    <w:rsid w:val="004D7C01"/>
    <w:rsid w:val="005314DB"/>
    <w:rsid w:val="00540B69"/>
    <w:rsid w:val="005559C0"/>
    <w:rsid w:val="00656EF7"/>
    <w:rsid w:val="00667616"/>
    <w:rsid w:val="006A29FF"/>
    <w:rsid w:val="00761F10"/>
    <w:rsid w:val="0080605D"/>
    <w:rsid w:val="00860447"/>
    <w:rsid w:val="00865B6C"/>
    <w:rsid w:val="008E183F"/>
    <w:rsid w:val="008F1486"/>
    <w:rsid w:val="00941977"/>
    <w:rsid w:val="00942969"/>
    <w:rsid w:val="00961F43"/>
    <w:rsid w:val="009650E1"/>
    <w:rsid w:val="00983844"/>
    <w:rsid w:val="009B57AF"/>
    <w:rsid w:val="009B6ADD"/>
    <w:rsid w:val="009D7F5C"/>
    <w:rsid w:val="00A30E4C"/>
    <w:rsid w:val="00A71302"/>
    <w:rsid w:val="00A77E76"/>
    <w:rsid w:val="00A8197E"/>
    <w:rsid w:val="00AF4054"/>
    <w:rsid w:val="00BB4584"/>
    <w:rsid w:val="00BE646A"/>
    <w:rsid w:val="00BF7325"/>
    <w:rsid w:val="00C45C8D"/>
    <w:rsid w:val="00C60E0C"/>
    <w:rsid w:val="00D015D8"/>
    <w:rsid w:val="00D252F0"/>
    <w:rsid w:val="00DC04DD"/>
    <w:rsid w:val="00DE122C"/>
    <w:rsid w:val="00EA16C3"/>
    <w:rsid w:val="00EA27CB"/>
    <w:rsid w:val="00F06474"/>
    <w:rsid w:val="00F528D3"/>
    <w:rsid w:val="00F569E0"/>
    <w:rsid w:val="00FA5C64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A6A2"/>
  <w15:chartTrackingRefBased/>
  <w15:docId w15:val="{599115F8-8542-4C53-93FD-7F21B58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05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30E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05D"/>
  </w:style>
  <w:style w:type="paragraph" w:styleId="Stopka">
    <w:name w:val="footer"/>
    <w:basedOn w:val="Normalny"/>
    <w:link w:val="StopkaZnak"/>
    <w:uiPriority w:val="99"/>
    <w:unhideWhenUsed/>
    <w:rsid w:val="00806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05D"/>
  </w:style>
  <w:style w:type="paragraph" w:styleId="Akapitzlist">
    <w:name w:val="List Paragraph"/>
    <w:aliases w:val="CW_Lista,wypunktowanie,normalny tekst,L1,Akapit z listą5,Nagł. 4 SW,T_SZ_List Paragraph,Akapit z listą BS,Obiekt,List Paragraph1,lp1,List Paragraph2,Numerowanie,Podsis rysunku,1.Nagłówek,sw tekst,zwykły tekst,BulletC,Odstavec"/>
    <w:basedOn w:val="Normalny"/>
    <w:link w:val="AkapitzlistZnak"/>
    <w:uiPriority w:val="34"/>
    <w:qFormat/>
    <w:rsid w:val="0080605D"/>
    <w:pPr>
      <w:ind w:left="708"/>
    </w:pPr>
  </w:style>
  <w:style w:type="character" w:customStyle="1" w:styleId="AkapitzlistZnak">
    <w:name w:val="Akapit z listą Znak"/>
    <w:aliases w:val="CW_Lista Znak,wypunktowanie Znak,normalny tekst Znak,L1 Znak,Akapit z listą5 Znak,Nagł. 4 SW Znak,T_SZ_List Paragraph Znak,Akapit z listą BS Znak,Obiekt Znak,List Paragraph1 Znak,lp1 Znak,List Paragraph2 Znak,Numerowanie Znak"/>
    <w:link w:val="Akapitzlist"/>
    <w:uiPriority w:val="34"/>
    <w:qFormat/>
    <w:rsid w:val="0080605D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0E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492ECC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2E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492EC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ArchIDEA Waldemar Skórski</dc:creator>
  <cp:keywords/>
  <dc:description/>
  <cp:lastModifiedBy>Autor</cp:lastModifiedBy>
  <cp:revision>3</cp:revision>
  <cp:lastPrinted>2023-01-20T15:31:00Z</cp:lastPrinted>
  <dcterms:created xsi:type="dcterms:W3CDTF">2024-04-19T09:35:00Z</dcterms:created>
  <dcterms:modified xsi:type="dcterms:W3CDTF">2024-07-09T07:28:00Z</dcterms:modified>
</cp:coreProperties>
</file>