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7E5404B" w:rsidR="00303AAF" w:rsidRPr="005D6B1B" w:rsidRDefault="00F15EC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113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81B087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C4E6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F54F7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F15ECF">
        <w:rPr>
          <w:rFonts w:asciiTheme="majorHAnsi" w:eastAsia="Times New Roman" w:hAnsiTheme="majorHAnsi" w:cstheme="majorHAnsi"/>
          <w:color w:val="auto"/>
          <w:sz w:val="22"/>
          <w:szCs w:val="22"/>
        </w:rPr>
        <w:t>13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32A8A8" w14:textId="64137D4F" w:rsidR="00432E83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8A40D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401FB47D" w14:textId="68253892" w:rsidR="00F15ECF" w:rsidRDefault="00F15EC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F15ECF">
        <w:rPr>
          <w:rFonts w:asciiTheme="majorHAnsi" w:eastAsia="Times New Roman" w:hAnsiTheme="majorHAnsi" w:cstheme="majorHAnsi"/>
          <w:bCs/>
          <w:sz w:val="22"/>
          <w:szCs w:val="22"/>
        </w:rPr>
        <w:t xml:space="preserve">GluN1 antibody, Synaptic Systems GmbH, 100 µg (114 011) - </w:t>
      </w:r>
      <w:proofErr w:type="spellStart"/>
      <w:r w:rsidRPr="00F15ECF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F15ECF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0CD96229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E796D45" w14:textId="37523BCC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65F7BEE" w14:textId="77777777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67C13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15ECF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70793" w14:textId="77777777" w:rsidR="007B73E6" w:rsidRDefault="007B73E6">
      <w:r>
        <w:separator/>
      </w:r>
    </w:p>
  </w:endnote>
  <w:endnote w:type="continuationSeparator" w:id="0">
    <w:p w14:paraId="7B474BF7" w14:textId="77777777" w:rsidR="007B73E6" w:rsidRDefault="007B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5AD5A" w14:textId="77777777" w:rsidR="007B73E6" w:rsidRDefault="007B73E6">
      <w:r>
        <w:separator/>
      </w:r>
    </w:p>
  </w:footnote>
  <w:footnote w:type="continuationSeparator" w:id="0">
    <w:p w14:paraId="18ADAFB2" w14:textId="77777777" w:rsidR="007B73E6" w:rsidRDefault="007B73E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2F54F7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5AB6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3E6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A40D5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A03C8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2AB5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E7B3E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00E6"/>
    <w:rsid w:val="00F11F2B"/>
    <w:rsid w:val="00F15ECF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2024-08-30T11:18:00Z</dcterms:created>
  <dcterms:modified xsi:type="dcterms:W3CDTF">2024-08-30T11:18:00Z</dcterms:modified>
</cp:coreProperties>
</file>