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15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5200"/>
        <w:gridCol w:w="2792"/>
        <w:gridCol w:w="3363"/>
        <w:gridCol w:w="1840"/>
      </w:tblGrid>
      <w:tr w:rsidR="009F7C0D" w:rsidRPr="00381D75" w:rsidTr="006A565E">
        <w:trPr>
          <w:trHeight w:val="85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9F7C0D" w:rsidRPr="00381D75" w:rsidRDefault="009F7C0D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00" w:type="dxa"/>
            <w:shd w:val="clear" w:color="auto" w:fill="auto"/>
            <w:noWrap/>
            <w:vAlign w:val="center"/>
            <w:hideMark/>
          </w:tcPr>
          <w:p w:rsidR="009F7C0D" w:rsidRPr="00381D75" w:rsidRDefault="009F7C0D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:rsidR="009F7C0D" w:rsidRPr="00381D75" w:rsidRDefault="009F7C0D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9F7C0D" w:rsidRPr="00381D75" w:rsidRDefault="009F7C0D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Wielkość opakowania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F7C0D" w:rsidRPr="00381D75" w:rsidRDefault="009F7C0D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opakowań</w:t>
            </w:r>
            <w:r w:rsidR="00027A0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/sztuk</w:t>
            </w:r>
            <w:r w:rsidR="00871D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na 24</w:t>
            </w: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msc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Sample cup</w:t>
            </w:r>
          </w:p>
        </w:tc>
        <w:tc>
          <w:tcPr>
            <w:tcW w:w="2792" w:type="dxa"/>
            <w:shd w:val="clear" w:color="auto" w:fill="auto"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866620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Plastic Capillaries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866627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solution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</w:t>
            </w:r>
            <w:r w:rsidR="00871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5000 ml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Glucose Standard Solution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866623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x 50 ml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Probówki do kalibratora i kontrolii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</w:t>
            </w:r>
            <w:r w:rsidR="00871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Elektroda EcoTwenty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866641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Wężyk pompki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6A565E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871D49"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0053P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871D49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</w:tbl>
    <w:p w:rsidR="00871D49" w:rsidRPr="00871D49" w:rsidRDefault="00C908BD">
      <w:pPr>
        <w:rPr>
          <w:rFonts w:ascii="Arial" w:hAnsi="Arial" w:cs="Arial"/>
          <w:b/>
          <w:u w:val="single"/>
        </w:rPr>
      </w:pPr>
      <w:r w:rsidRPr="00871D49">
        <w:rPr>
          <w:rFonts w:ascii="Arial" w:hAnsi="Arial" w:cs="Arial"/>
          <w:b/>
          <w:u w:val="single"/>
        </w:rPr>
        <w:t xml:space="preserve">Zadanie 1 </w:t>
      </w:r>
      <w:r w:rsidR="00871D49" w:rsidRPr="00871D49">
        <w:rPr>
          <w:rFonts w:ascii="Arial" w:hAnsi="Arial" w:cs="Arial"/>
          <w:b/>
          <w:u w:val="single"/>
        </w:rPr>
        <w:t xml:space="preserve">- </w:t>
      </w:r>
      <w:r w:rsidR="00871D49" w:rsidRPr="00871D4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Dotyczy analizatorów glukozy Eco Twenty Care Diagnostica</w:t>
      </w:r>
    </w:p>
    <w:p w:rsidR="00871D49" w:rsidRPr="00871D49" w:rsidRDefault="00871D49">
      <w:pPr>
        <w:rPr>
          <w:rFonts w:ascii="Arial" w:hAnsi="Arial" w:cs="Arial"/>
          <w:b/>
          <w:u w:val="single"/>
        </w:rPr>
      </w:pPr>
    </w:p>
    <w:p w:rsidR="00871D49" w:rsidRDefault="00871D49">
      <w:pPr>
        <w:rPr>
          <w:rFonts w:ascii="Arial" w:hAnsi="Arial" w:cs="Arial"/>
          <w:b/>
        </w:rPr>
      </w:pPr>
      <w:r w:rsidRPr="00871D49">
        <w:rPr>
          <w:rFonts w:ascii="Arial" w:hAnsi="Arial" w:cs="Arial"/>
          <w:b/>
        </w:rPr>
        <w:t xml:space="preserve">Zamawiający podaje numery katalogowe, ponieważ posiada </w:t>
      </w:r>
      <w:r>
        <w:rPr>
          <w:rFonts w:ascii="Arial" w:hAnsi="Arial" w:cs="Arial"/>
          <w:b/>
        </w:rPr>
        <w:t xml:space="preserve">własny </w:t>
      </w:r>
      <w:r w:rsidRPr="00871D49">
        <w:rPr>
          <w:rFonts w:ascii="Arial" w:hAnsi="Arial" w:cs="Arial"/>
          <w:b/>
        </w:rPr>
        <w:t xml:space="preserve">aparat, a w/w asortyment jest </w:t>
      </w:r>
      <w:r>
        <w:rPr>
          <w:rFonts w:ascii="Arial" w:hAnsi="Arial" w:cs="Arial"/>
          <w:b/>
        </w:rPr>
        <w:t xml:space="preserve">niezbędny do prawidłowego funkcjonowania </w:t>
      </w:r>
      <w:r w:rsidRPr="00871D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urządzenia.</w:t>
      </w:r>
    </w:p>
    <w:p w:rsidR="00C908BD" w:rsidRPr="00871D49" w:rsidRDefault="00C908BD">
      <w:pPr>
        <w:rPr>
          <w:rFonts w:ascii="Arial" w:hAnsi="Arial" w:cs="Arial"/>
          <w:b/>
        </w:rPr>
      </w:pPr>
      <w:r w:rsidRPr="00C908BD">
        <w:rPr>
          <w:rFonts w:ascii="Arial" w:hAnsi="Arial" w:cs="Arial"/>
          <w:b/>
          <w:u w:val="single"/>
        </w:rPr>
        <w:t>Zadanie 2</w:t>
      </w:r>
      <w:r w:rsidR="00871D49">
        <w:rPr>
          <w:rFonts w:ascii="Arial" w:hAnsi="Arial" w:cs="Arial"/>
          <w:b/>
          <w:u w:val="single"/>
        </w:rPr>
        <w:t xml:space="preserve"> – Dotyczy  dostawy pasków i materiałów kontrolnych do analizatora moczu. </w:t>
      </w:r>
    </w:p>
    <w:tbl>
      <w:tblPr>
        <w:tblpPr w:leftFromText="141" w:rightFromText="141" w:vertAnchor="page" w:horzAnchor="margin" w:tblpY="7161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5200"/>
        <w:gridCol w:w="2792"/>
        <w:gridCol w:w="3363"/>
        <w:gridCol w:w="1840"/>
      </w:tblGrid>
      <w:tr w:rsidR="00871D49" w:rsidRPr="00381D75" w:rsidTr="006A565E">
        <w:trPr>
          <w:trHeight w:val="85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71D49" w:rsidRPr="00381D75" w:rsidRDefault="00871D49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00" w:type="dxa"/>
            <w:shd w:val="clear" w:color="auto" w:fill="auto"/>
            <w:noWrap/>
            <w:vAlign w:val="center"/>
            <w:hideMark/>
          </w:tcPr>
          <w:p w:rsidR="00871D49" w:rsidRPr="00381D75" w:rsidRDefault="00871D49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:rsidR="00871D49" w:rsidRPr="00381D75" w:rsidRDefault="00871D49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871D49" w:rsidRPr="00381D75" w:rsidRDefault="00871D49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Wielkość opakowania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71D49" w:rsidRPr="00381D75" w:rsidRDefault="00871D49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opakowań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/sztuk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na 24</w:t>
            </w: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msc</w:t>
            </w:r>
          </w:p>
        </w:tc>
      </w:tr>
      <w:tr w:rsidR="00871D49" w:rsidRPr="00381D75" w:rsidTr="00871D49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871D49" w:rsidRPr="00381D75" w:rsidRDefault="00871D49" w:rsidP="00871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Paski do oznaczania parametrów moczu na oferowanym analizatorze moczu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</w:tr>
      <w:tr w:rsidR="00871D49" w:rsidRPr="00381D75" w:rsidTr="00871D49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871D49" w:rsidRPr="00381D75" w:rsidRDefault="00871D49" w:rsidP="00871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Kontrola normalna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moczu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871D49" w:rsidRPr="00381D75" w:rsidTr="00871D49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871D49" w:rsidRPr="00381D75" w:rsidRDefault="00871D49" w:rsidP="00871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Kontrola patologiczna 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871D49" w:rsidRPr="00381D75" w:rsidRDefault="00871D49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</w:tbl>
    <w:p w:rsidR="00C908BD" w:rsidRDefault="00C908BD">
      <w:pPr>
        <w:rPr>
          <w:rFonts w:ascii="Arial" w:hAnsi="Arial" w:cs="Arial"/>
        </w:rPr>
      </w:pPr>
    </w:p>
    <w:p w:rsidR="00C908BD" w:rsidRDefault="00C908BD">
      <w:pPr>
        <w:rPr>
          <w:rFonts w:ascii="Arial" w:hAnsi="Arial" w:cs="Arial"/>
        </w:rPr>
      </w:pPr>
    </w:p>
    <w:p w:rsidR="00871D49" w:rsidRDefault="00871D49">
      <w:pPr>
        <w:rPr>
          <w:rFonts w:ascii="Arial" w:hAnsi="Arial" w:cs="Arial"/>
        </w:rPr>
      </w:pPr>
    </w:p>
    <w:p w:rsidR="00871D49" w:rsidRPr="00871D49" w:rsidRDefault="00871D49" w:rsidP="00871D49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 xml:space="preserve">Zadanie 3 – Dotyczy dzierżawy analizatora moczu </w:t>
      </w:r>
    </w:p>
    <w:tbl>
      <w:tblPr>
        <w:tblpPr w:leftFromText="141" w:rightFromText="141" w:vertAnchor="page" w:horzAnchor="margin" w:tblpY="2066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5200"/>
        <w:gridCol w:w="3269"/>
        <w:gridCol w:w="4677"/>
      </w:tblGrid>
      <w:tr w:rsidR="006A565E" w:rsidRPr="00381D75" w:rsidTr="006A565E">
        <w:trPr>
          <w:trHeight w:val="85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6A565E" w:rsidRPr="00381D75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00" w:type="dxa"/>
            <w:shd w:val="clear" w:color="auto" w:fill="auto"/>
            <w:noWrap/>
            <w:vAlign w:val="center"/>
            <w:hideMark/>
          </w:tcPr>
          <w:p w:rsidR="006A565E" w:rsidRPr="00381D75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6A565E" w:rsidRPr="00381D75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A565E" w:rsidRPr="00381D75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miesięcy dzierżawy</w:t>
            </w:r>
          </w:p>
        </w:tc>
      </w:tr>
      <w:tr w:rsidR="006A565E" w:rsidRPr="00381D75" w:rsidTr="006A565E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6A565E" w:rsidRPr="00381D75" w:rsidRDefault="006A565E" w:rsidP="00871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6A565E" w:rsidRPr="00381D75" w:rsidRDefault="006A565E" w:rsidP="00871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Analizator moczu zgodny z załączonymi warunkami technicznymi</w:t>
            </w:r>
          </w:p>
        </w:tc>
        <w:tc>
          <w:tcPr>
            <w:tcW w:w="3269" w:type="dxa"/>
            <w:shd w:val="clear" w:color="auto" w:fill="auto"/>
            <w:noWrap/>
            <w:vAlign w:val="bottom"/>
          </w:tcPr>
          <w:p w:rsidR="006A565E" w:rsidRPr="00381D75" w:rsidRDefault="006A565E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6A565E" w:rsidRPr="00381D75" w:rsidRDefault="006A565E" w:rsidP="008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</w:tbl>
    <w:p w:rsidR="00871D49" w:rsidRPr="00381D75" w:rsidRDefault="00871D49">
      <w:pPr>
        <w:rPr>
          <w:rFonts w:ascii="Arial" w:hAnsi="Arial" w:cs="Arial"/>
        </w:rPr>
      </w:pPr>
    </w:p>
    <w:p w:rsidR="006A565E" w:rsidRDefault="006A565E" w:rsidP="000B07C5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WSZYSTKIE ZADANIA DO REALIZACJI W JEDNYM PAKIECIE. </w:t>
      </w:r>
    </w:p>
    <w:p w:rsidR="006A565E" w:rsidRDefault="006A565E" w:rsidP="000B07C5">
      <w:pPr>
        <w:rPr>
          <w:rFonts w:ascii="Arial" w:hAnsi="Arial" w:cs="Arial"/>
          <w:b/>
        </w:rPr>
      </w:pPr>
      <w:r w:rsidRPr="006A565E">
        <w:rPr>
          <w:rFonts w:ascii="Arial" w:hAnsi="Arial" w:cs="Arial"/>
          <w:b/>
        </w:rPr>
        <w:t>Warunki graniczne dla analizatora mocz</w:t>
      </w:r>
      <w:r>
        <w:rPr>
          <w:rFonts w:ascii="Arial" w:hAnsi="Arial" w:cs="Arial"/>
          <w:b/>
        </w:rPr>
        <w:t>u.</w:t>
      </w:r>
    </w:p>
    <w:tbl>
      <w:tblPr>
        <w:tblW w:w="13622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3185"/>
        <w:gridCol w:w="4677"/>
      </w:tblGrid>
      <w:tr w:rsidR="006A565E" w:rsidRPr="006A565E" w:rsidTr="006A565E">
        <w:trPr>
          <w:trHeight w:val="33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Analizator  fabrycznie nowy – rok produkcji 2024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48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Wydajność: co najmniej 500 pasków na godzinę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345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Duży, dotykowy ekran LCD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42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Oprogramowanie w języku polskim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39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podajnik pasków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1542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Testy paskowe 10-cio parametrowe: możliwość oznaczania : leukocytów, ciał ketonowych, białka, glukozy, azotynów, erytrocytów, urobilinogenu, bilirubiny oraz pH i ciężar właściwy. Możliwość wprowadzania do aparatu barwy moczu i klarowności.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63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wykonywania badań pojedynczych lub w serii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751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wprowadzenia numeru ID próbki manualnie, czytnikiem kodów kreskowych zintegrowanym z aparatem lub przesyłanie do LIS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69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Wbudowana kontrola jakości, pamięć co najmniej 200 wyników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555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flagowanie próbek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585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Wbudowana drukarka wewnętrzna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825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Serwis analizatora dostępny 24 godziny na dobę przez 7 dni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69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Montaż i uruchomienie aparatu, szkolenie personelu na koszt wydzierżawiającego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108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aparatu w ciągu 24 godzin/lub  zamiana na czas naprawy na inny egzemplarz kompatybilny z systemem informatycznym Kamsoft.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900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Przeglądy, naprawy, wymiana części zużywalnych  wykonywane będą na koszt wydzierżawiającego.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465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Oferowany aparat oznakowany znakiem CE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555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Analizator kompatybilny z posiadaną w laboratorium siecią informatyczną firmy KAMSOFT.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565E" w:rsidRPr="006A565E" w:rsidTr="006A565E">
        <w:trPr>
          <w:trHeight w:val="819"/>
        </w:trPr>
        <w:tc>
          <w:tcPr>
            <w:tcW w:w="96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00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Bezpłatne dla zamawiającego włączenie analizatora do sieci informatycznej KS – SOLAB firmy Kamsoft, obecnej w laboratorium</w:t>
            </w:r>
          </w:p>
        </w:tc>
        <w:tc>
          <w:tcPr>
            <w:tcW w:w="3185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77" w:type="dxa"/>
            <w:shd w:val="clear" w:color="auto" w:fill="auto"/>
            <w:hideMark/>
          </w:tcPr>
          <w:p w:rsidR="006A565E" w:rsidRPr="006A565E" w:rsidRDefault="006A565E" w:rsidP="006A5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A565E" w:rsidRPr="006A565E" w:rsidRDefault="006A565E" w:rsidP="000B07C5">
      <w:pPr>
        <w:rPr>
          <w:rFonts w:ascii="Arial" w:hAnsi="Arial" w:cs="Arial"/>
          <w:b/>
        </w:rPr>
      </w:pPr>
    </w:p>
    <w:p w:rsidR="000B07C5" w:rsidRPr="00381D75" w:rsidRDefault="000B07C5" w:rsidP="000B07C5">
      <w:pPr>
        <w:rPr>
          <w:rFonts w:ascii="Arial" w:hAnsi="Arial" w:cs="Arial"/>
          <w:b/>
          <w:color w:val="FF0000"/>
          <w:u w:val="single"/>
        </w:rPr>
      </w:pPr>
    </w:p>
    <w:p w:rsidR="000B07C5" w:rsidRPr="006A565E" w:rsidRDefault="006A565E">
      <w:pPr>
        <w:rPr>
          <w:rFonts w:ascii="Arial" w:hAnsi="Arial" w:cs="Arial"/>
          <w:b/>
          <w:u w:val="single"/>
        </w:rPr>
      </w:pPr>
      <w:r w:rsidRPr="006A565E">
        <w:rPr>
          <w:rFonts w:ascii="Arial" w:hAnsi="Arial" w:cs="Arial"/>
          <w:b/>
          <w:u w:val="single"/>
        </w:rPr>
        <w:t>OFERTA NIE SPEŁNIAJĄCA WYMOGÓW GRANICZNYCH ZOSTANIE ODRZ</w:t>
      </w:r>
      <w:r>
        <w:rPr>
          <w:rFonts w:ascii="Arial" w:hAnsi="Arial" w:cs="Arial"/>
          <w:b/>
          <w:u w:val="single"/>
        </w:rPr>
        <w:t>U</w:t>
      </w:r>
      <w:r w:rsidRPr="006A565E">
        <w:rPr>
          <w:rFonts w:ascii="Arial" w:hAnsi="Arial" w:cs="Arial"/>
          <w:b/>
          <w:u w:val="single"/>
        </w:rPr>
        <w:t xml:space="preserve">CONA. </w:t>
      </w:r>
    </w:p>
    <w:sectPr w:rsidR="000B07C5" w:rsidRPr="006A565E" w:rsidSect="007C628B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89" w:rsidRDefault="00243889" w:rsidP="007C628B">
      <w:pPr>
        <w:spacing w:after="0" w:line="240" w:lineRule="auto"/>
      </w:pPr>
      <w:r>
        <w:separator/>
      </w:r>
    </w:p>
  </w:endnote>
  <w:endnote w:type="continuationSeparator" w:id="1">
    <w:p w:rsidR="00243889" w:rsidRDefault="00243889" w:rsidP="007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89" w:rsidRDefault="00243889" w:rsidP="007C628B">
      <w:pPr>
        <w:spacing w:after="0" w:line="240" w:lineRule="auto"/>
      </w:pPr>
      <w:r>
        <w:separator/>
      </w:r>
    </w:p>
  </w:footnote>
  <w:footnote w:type="continuationSeparator" w:id="1">
    <w:p w:rsidR="00243889" w:rsidRDefault="00243889" w:rsidP="007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B" w:rsidRPr="007C628B" w:rsidRDefault="007C628B" w:rsidP="007C628B">
    <w:pPr>
      <w:pStyle w:val="Nagwek"/>
      <w:jc w:val="center"/>
      <w:rPr>
        <w:b/>
        <w:i/>
        <w:sz w:val="28"/>
        <w:szCs w:val="2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B" w:rsidRPr="00381D75" w:rsidRDefault="007C628B" w:rsidP="007C628B">
    <w:pPr>
      <w:pStyle w:val="Nagwek"/>
      <w:jc w:val="center"/>
      <w:rPr>
        <w:b/>
        <w:i/>
        <w:sz w:val="32"/>
        <w:szCs w:val="32"/>
      </w:rPr>
    </w:pPr>
    <w:r w:rsidRPr="00381D75">
      <w:rPr>
        <w:b/>
        <w:i/>
        <w:sz w:val="32"/>
        <w:szCs w:val="32"/>
      </w:rPr>
      <w:t>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4C5"/>
    <w:multiLevelType w:val="hybridMultilevel"/>
    <w:tmpl w:val="DC1A6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F9A"/>
    <w:rsid w:val="00007932"/>
    <w:rsid w:val="00027A0F"/>
    <w:rsid w:val="0004477A"/>
    <w:rsid w:val="000B07C5"/>
    <w:rsid w:val="000F4817"/>
    <w:rsid w:val="00122669"/>
    <w:rsid w:val="001C0276"/>
    <w:rsid w:val="001E440D"/>
    <w:rsid w:val="00243889"/>
    <w:rsid w:val="00287EFB"/>
    <w:rsid w:val="00300B3F"/>
    <w:rsid w:val="00381D75"/>
    <w:rsid w:val="003F3F49"/>
    <w:rsid w:val="004B0672"/>
    <w:rsid w:val="004B275F"/>
    <w:rsid w:val="005A3340"/>
    <w:rsid w:val="005D1CA5"/>
    <w:rsid w:val="005D6ACA"/>
    <w:rsid w:val="006542A6"/>
    <w:rsid w:val="006929AE"/>
    <w:rsid w:val="006A565E"/>
    <w:rsid w:val="006E6521"/>
    <w:rsid w:val="00707D59"/>
    <w:rsid w:val="00786383"/>
    <w:rsid w:val="007C628B"/>
    <w:rsid w:val="00831B33"/>
    <w:rsid w:val="00844109"/>
    <w:rsid w:val="00871D49"/>
    <w:rsid w:val="008A290E"/>
    <w:rsid w:val="008C4D30"/>
    <w:rsid w:val="00912B5C"/>
    <w:rsid w:val="00997ED1"/>
    <w:rsid w:val="009F2F9A"/>
    <w:rsid w:val="009F7C0D"/>
    <w:rsid w:val="00C71B53"/>
    <w:rsid w:val="00C908BD"/>
    <w:rsid w:val="00CE629F"/>
    <w:rsid w:val="00E67FB6"/>
    <w:rsid w:val="00EC4767"/>
    <w:rsid w:val="00F24459"/>
    <w:rsid w:val="00F60AA2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2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628B"/>
  </w:style>
  <w:style w:type="paragraph" w:styleId="Stopka">
    <w:name w:val="footer"/>
    <w:basedOn w:val="Normalny"/>
    <w:link w:val="StopkaZnak"/>
    <w:uiPriority w:val="99"/>
    <w:semiHidden/>
    <w:unhideWhenUsed/>
    <w:rsid w:val="007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2023-05-30T07:03:00Z</cp:lastPrinted>
  <dcterms:created xsi:type="dcterms:W3CDTF">2024-06-20T07:17:00Z</dcterms:created>
  <dcterms:modified xsi:type="dcterms:W3CDTF">2024-06-20T07:17:00Z</dcterms:modified>
</cp:coreProperties>
</file>