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1B26" w14:textId="16AA0084" w:rsidR="009B2FCC" w:rsidRPr="001567D7" w:rsidRDefault="009B2FCC" w:rsidP="001567D7">
      <w:pPr>
        <w:pStyle w:val="Nagwek"/>
        <w:spacing w:line="276" w:lineRule="auto"/>
        <w:jc w:val="right"/>
        <w:rPr>
          <w:rFonts w:cstheme="majorHAnsi"/>
          <w:bCs/>
          <w:color w:val="002060"/>
          <w:lang w:eastAsia="pl-PL"/>
        </w:rPr>
      </w:pPr>
      <w:r w:rsidRPr="002538C8">
        <w:rPr>
          <w:rFonts w:cstheme="majorHAnsi"/>
          <w:color w:val="002060"/>
        </w:rPr>
        <w:t>Zał. nr 1</w:t>
      </w:r>
      <w:r w:rsidRPr="002538C8">
        <w:rPr>
          <w:rFonts w:cstheme="majorHAnsi"/>
          <w:bCs/>
          <w:color w:val="002060"/>
          <w:lang w:eastAsia="pl-PL"/>
        </w:rPr>
        <w:t xml:space="preserve"> do </w:t>
      </w:r>
      <w:r w:rsidR="001567D7">
        <w:rPr>
          <w:rFonts w:cstheme="majorHAnsi"/>
          <w:bCs/>
          <w:color w:val="002060"/>
          <w:lang w:eastAsia="pl-PL"/>
        </w:rPr>
        <w:t>SWZ</w:t>
      </w:r>
    </w:p>
    <w:p w14:paraId="6F774284" w14:textId="77777777" w:rsidR="009B2FCC" w:rsidRPr="002538C8" w:rsidRDefault="009B2FCC" w:rsidP="009B2FCC">
      <w:pPr>
        <w:pStyle w:val="Nagwek"/>
        <w:spacing w:line="276" w:lineRule="auto"/>
        <w:contextualSpacing/>
        <w:jc w:val="both"/>
        <w:rPr>
          <w:rFonts w:cstheme="majorHAnsi"/>
          <w:color w:val="002060"/>
        </w:rPr>
      </w:pPr>
    </w:p>
    <w:p w14:paraId="4D3FA741" w14:textId="77777777" w:rsidR="009B2FCC" w:rsidRPr="002538C8" w:rsidRDefault="009B2FCC" w:rsidP="009B2FCC">
      <w:pPr>
        <w:pStyle w:val="Akapitzlist"/>
        <w:spacing w:after="0" w:line="276" w:lineRule="auto"/>
        <w:ind w:left="360"/>
        <w:jc w:val="center"/>
        <w:rPr>
          <w:rFonts w:eastAsia="Times New Roman" w:cstheme="majorHAnsi"/>
          <w:b/>
          <w:color w:val="002060"/>
          <w:lang w:eastAsia="pl-PL"/>
        </w:rPr>
      </w:pPr>
      <w:r w:rsidRPr="002538C8">
        <w:rPr>
          <w:rFonts w:eastAsia="Times New Roman" w:cstheme="majorHAnsi"/>
          <w:b/>
          <w:color w:val="002060"/>
          <w:lang w:eastAsia="pl-PL"/>
        </w:rPr>
        <w:t>SZCZEGÓŁOWY OPIS PRZEDMIOTU ZAMÓWIENIA</w:t>
      </w:r>
    </w:p>
    <w:p w14:paraId="1E0058A2" w14:textId="77777777" w:rsidR="009B2FCC" w:rsidRPr="002538C8" w:rsidRDefault="009B2FCC" w:rsidP="009B2FCC">
      <w:pPr>
        <w:pStyle w:val="Akapitzlist"/>
        <w:spacing w:after="0" w:line="276" w:lineRule="auto"/>
        <w:ind w:left="360"/>
        <w:jc w:val="center"/>
        <w:rPr>
          <w:rFonts w:eastAsia="Times New Roman" w:cstheme="majorHAnsi"/>
          <w:b/>
          <w:color w:val="002060"/>
          <w:lang w:eastAsia="pl-PL"/>
        </w:rPr>
      </w:pPr>
    </w:p>
    <w:p w14:paraId="0E550789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b/>
          <w:bCs/>
          <w:color w:val="002060"/>
        </w:rPr>
      </w:pPr>
      <w:r w:rsidRPr="002538C8">
        <w:rPr>
          <w:rFonts w:cstheme="majorHAnsi"/>
          <w:b/>
          <w:bCs/>
          <w:color w:val="002060"/>
        </w:rPr>
        <w:t xml:space="preserve">Przedmiotem zamówienia jest kompleksowa dostawa paliwa gazowego (gazu ziemnego – (E)) </w:t>
      </w:r>
      <w:r w:rsidRPr="002538C8">
        <w:rPr>
          <w:rFonts w:cstheme="majorHAnsi"/>
          <w:b/>
          <w:bCs/>
          <w:strike/>
          <w:color w:val="002060"/>
        </w:rPr>
        <w:t xml:space="preserve"> </w:t>
      </w:r>
      <w:r w:rsidRPr="002538C8">
        <w:rPr>
          <w:rFonts w:cstheme="majorHAnsi"/>
          <w:b/>
          <w:bCs/>
          <w:color w:val="002060"/>
        </w:rPr>
        <w:t xml:space="preserve">celem zasilania Stacji </w:t>
      </w:r>
      <w:r>
        <w:rPr>
          <w:rFonts w:cstheme="majorHAnsi"/>
          <w:b/>
          <w:bCs/>
          <w:color w:val="002060"/>
        </w:rPr>
        <w:t>t</w:t>
      </w:r>
      <w:r w:rsidRPr="002538C8">
        <w:rPr>
          <w:rFonts w:cstheme="majorHAnsi"/>
          <w:b/>
          <w:bCs/>
          <w:color w:val="002060"/>
        </w:rPr>
        <w:t xml:space="preserve">ankowania </w:t>
      </w:r>
      <w:r>
        <w:rPr>
          <w:rFonts w:cstheme="majorHAnsi"/>
          <w:b/>
          <w:bCs/>
          <w:color w:val="002060"/>
        </w:rPr>
        <w:t>g</w:t>
      </w:r>
      <w:r w:rsidRPr="002538C8">
        <w:rPr>
          <w:rFonts w:cstheme="majorHAnsi"/>
          <w:b/>
          <w:bCs/>
          <w:color w:val="002060"/>
        </w:rPr>
        <w:t xml:space="preserve">azu CNG na terenie </w:t>
      </w:r>
      <w:r w:rsidRPr="00147BE6">
        <w:rPr>
          <w:rFonts w:cstheme="majorHAnsi"/>
          <w:b/>
          <w:bCs/>
          <w:color w:val="002060"/>
        </w:rPr>
        <w:t>Zakładu Gospodarki Komunalnej „Bolesław” Sp. z o.o. 32-329 Bolesław ul. Osadowa 1; NIP: 637-000-43-35, REGON: 272661647; Sąd Rejonowy dla Krakowa</w:t>
      </w:r>
      <w:r>
        <w:rPr>
          <w:rFonts w:cstheme="majorHAnsi"/>
          <w:b/>
          <w:bCs/>
          <w:color w:val="002060"/>
        </w:rPr>
        <w:t xml:space="preserve"> </w:t>
      </w:r>
      <w:r w:rsidRPr="00147BE6">
        <w:rPr>
          <w:rFonts w:cstheme="majorHAnsi"/>
          <w:b/>
          <w:bCs/>
          <w:color w:val="002060"/>
        </w:rPr>
        <w:t>-</w:t>
      </w:r>
      <w:r>
        <w:rPr>
          <w:rFonts w:cstheme="majorHAnsi"/>
          <w:b/>
          <w:bCs/>
          <w:color w:val="002060"/>
        </w:rPr>
        <w:t xml:space="preserve"> </w:t>
      </w:r>
      <w:r w:rsidRPr="00147BE6">
        <w:rPr>
          <w:rFonts w:cstheme="majorHAnsi"/>
          <w:b/>
          <w:bCs/>
          <w:color w:val="002060"/>
        </w:rPr>
        <w:t>Śródmieścia w Krakowie XII Wydział Gospodarczy Krajowego Rejestru Sądowego, KRS nr 00000</w:t>
      </w:r>
      <w:r>
        <w:rPr>
          <w:rFonts w:cstheme="majorHAnsi"/>
          <w:b/>
          <w:bCs/>
          <w:color w:val="002060"/>
        </w:rPr>
        <w:t>29</w:t>
      </w:r>
      <w:r w:rsidRPr="00147BE6">
        <w:rPr>
          <w:rFonts w:cstheme="majorHAnsi"/>
          <w:b/>
          <w:bCs/>
          <w:color w:val="002060"/>
        </w:rPr>
        <w:t>504, Kapitał zakładowy: 2 820 500,00 zł</w:t>
      </w:r>
      <w:r w:rsidRPr="002538C8">
        <w:rPr>
          <w:rFonts w:cstheme="majorHAnsi"/>
          <w:b/>
          <w:bCs/>
          <w:color w:val="002060"/>
        </w:rPr>
        <w:t xml:space="preserve">, obejmująca sprzedaż i świadczenie usług dystrybucji paliwa gazowego (gazu ziemnego wysokometanowego o symbolu E) o łącznym prognozowanym wolumenie do </w:t>
      </w:r>
      <w:r>
        <w:rPr>
          <w:rFonts w:cstheme="majorHAnsi"/>
          <w:b/>
          <w:bCs/>
          <w:color w:val="002060"/>
        </w:rPr>
        <w:t>4 455</w:t>
      </w:r>
      <w:r w:rsidRPr="002538C8">
        <w:rPr>
          <w:rFonts w:cstheme="majorHAnsi"/>
          <w:b/>
          <w:bCs/>
          <w:color w:val="002060"/>
        </w:rPr>
        <w:t xml:space="preserve"> MWh. </w:t>
      </w:r>
    </w:p>
    <w:p w14:paraId="6F0ECD96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Okres realizacji przedmiotu zamówienia: sukcesywnie w okresie </w:t>
      </w:r>
      <w:r>
        <w:rPr>
          <w:rFonts w:cstheme="majorHAnsi"/>
          <w:color w:val="002060"/>
        </w:rPr>
        <w:t>29</w:t>
      </w:r>
      <w:r w:rsidRPr="002538C8">
        <w:rPr>
          <w:rFonts w:cstheme="majorHAnsi"/>
          <w:color w:val="002060"/>
        </w:rPr>
        <w:t xml:space="preserve"> miesięcy od dnia zawarcia umowy jednak nie wcześniej niż od dnia 1 sierpnia 2024 roku.</w:t>
      </w:r>
    </w:p>
    <w:p w14:paraId="25F1E3E3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Prognozowane zużycie gazu ziemnego ma charakter orientacyjny i może odbiegać od faktycznie pobranej w okresie trwania umowy ilości gazu. Zmniejszenie ilości gazu nie skutkuje dla Zamawiającego żadnymi konsekwencjami, poza koniecznością dokonania zapłaty za faktycznie pobraną ilość gazu oraz usług dystrybucji w cenach i stawkach ujętych przez Wykonawcę w kalkulacji ceny na kompleksową dostawę gazu.</w:t>
      </w:r>
    </w:p>
    <w:p w14:paraId="4BC040A0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Ilość paliwa gazowego (gazu ziemnego) wskazana w pkt. 1 jest ilością szacunkową, może ulec dużym zmianom w okresie realizacji przedmiotu niniejszego zamówienia. Wykonawca w cenie oferty zobowiązany jest uwzględnić wszystkie czynniki wynikające z nierównomierności poboru paliwa gazowego   przez Zamawiającego. </w:t>
      </w:r>
    </w:p>
    <w:p w14:paraId="297C06B4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Zamawiający informuje, iż w okresie realizacji przedmiotu zamówienia będzie zwiększał ilość pojazdów, które tankować będą gaz CNG na stacji, o której mowa w pkt. 1. </w:t>
      </w:r>
    </w:p>
    <w:p w14:paraId="1619F34C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Dostawa paliwa gazowego odbywać się będzie za pośrednictwem sieci operatora Systemu Dystrybucyjnego (OSD) tj. Polskiej Spółki Gazownictwa sp. z o.o. Koszt wynagrodzenia OSD wykonawca zobowiązany jest uwzględnić w cenie jednostkowej zgodnie z obowiązującą taryfą nr 12 (dla wszystkich okresów dostaw objętych postępowaniem przetargowym) dla:</w:t>
      </w:r>
    </w:p>
    <w:p w14:paraId="7C975E28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Mocy umowna</w:t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  <w:t>- 2750 kWh/h;</w:t>
      </w:r>
    </w:p>
    <w:p w14:paraId="56042389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Grupy taryfowej W</w:t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  <w:t>- 6A.1_TA</w:t>
      </w:r>
    </w:p>
    <w:p w14:paraId="77D4141C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Obszar taryfowy tarnowski</w:t>
      </w:r>
    </w:p>
    <w:p w14:paraId="1E14721B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Okres  </w:t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  <w:t xml:space="preserve">- </w:t>
      </w:r>
      <w:r>
        <w:rPr>
          <w:rFonts w:cstheme="majorHAnsi"/>
          <w:color w:val="002060"/>
        </w:rPr>
        <w:t>29</w:t>
      </w:r>
      <w:r w:rsidRPr="002538C8">
        <w:rPr>
          <w:rFonts w:cstheme="majorHAnsi"/>
          <w:color w:val="002060"/>
        </w:rPr>
        <w:t xml:space="preserve"> m-cy;</w:t>
      </w:r>
    </w:p>
    <w:p w14:paraId="116A3A12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Wolumen </w:t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</w:r>
      <w:r w:rsidRPr="002538C8">
        <w:rPr>
          <w:rFonts w:cstheme="majorHAnsi"/>
          <w:color w:val="002060"/>
        </w:rPr>
        <w:tab/>
        <w:t xml:space="preserve">- </w:t>
      </w:r>
      <w:r>
        <w:rPr>
          <w:rFonts w:cstheme="majorHAnsi"/>
          <w:color w:val="002060"/>
        </w:rPr>
        <w:t>4 455</w:t>
      </w:r>
      <w:r w:rsidRPr="002538C8">
        <w:rPr>
          <w:rFonts w:cstheme="majorHAnsi"/>
          <w:color w:val="002060"/>
        </w:rPr>
        <w:t xml:space="preserve">  MWh</w:t>
      </w:r>
    </w:p>
    <w:p w14:paraId="33428A39" w14:textId="77777777" w:rsidR="009B2FCC" w:rsidRPr="002538C8" w:rsidRDefault="009B2FCC" w:rsidP="009B2FCC">
      <w:pPr>
        <w:pStyle w:val="Akapitzlist"/>
        <w:numPr>
          <w:ilvl w:val="7"/>
          <w:numId w:val="1"/>
        </w:numPr>
        <w:spacing w:after="0" w:line="276" w:lineRule="auto"/>
        <w:ind w:left="1134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Paliwo gazowe dostarczane będzie do punktu odbioru przy ul. </w:t>
      </w:r>
      <w:r>
        <w:rPr>
          <w:rFonts w:cstheme="majorHAnsi"/>
          <w:color w:val="002060"/>
        </w:rPr>
        <w:t>Wyzwolenia dz.1043/11, 1043/4; 32-329 Bolesław</w:t>
      </w:r>
      <w:r w:rsidRPr="002538C8">
        <w:rPr>
          <w:rFonts w:cstheme="majorHAnsi"/>
          <w:color w:val="002060"/>
        </w:rPr>
        <w:t xml:space="preserve">. Numer punktu poboru: </w:t>
      </w:r>
      <w:r w:rsidRPr="008030D4">
        <w:rPr>
          <w:rFonts w:cstheme="majorHAnsi"/>
          <w:color w:val="002060"/>
        </w:rPr>
        <w:t xml:space="preserve">8018590365500042075283 </w:t>
      </w:r>
      <w:r w:rsidRPr="002538C8">
        <w:rPr>
          <w:rFonts w:cstheme="majorHAnsi"/>
          <w:color w:val="002060"/>
        </w:rPr>
        <w:t>(charakterystyka poboru paliwa gazowego zakłada równomierny całoroczny pobór paliwa gazowego)</w:t>
      </w:r>
    </w:p>
    <w:p w14:paraId="1ABD83B4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b/>
          <w:bCs/>
          <w:color w:val="002060"/>
        </w:rPr>
      </w:pPr>
      <w:r w:rsidRPr="002538C8">
        <w:rPr>
          <w:rFonts w:cstheme="majorHAnsi"/>
          <w:b/>
          <w:bCs/>
          <w:color w:val="002060"/>
        </w:rPr>
        <w:t xml:space="preserve">Wykonawca zobowiązany jest do zgłoszenia właściwemu OSD umowy kompleksowej oraz sporządzenia i przekazywania do OSD planu poboru paliwa gazowego </w:t>
      </w:r>
    </w:p>
    <w:p w14:paraId="73723F71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Wykonawca nie będący OSD oświadcza, że ma zawartą Umowę o świadczenie usług dystrybucji paliwa gazowego z OSD, umożliwiającą sprzedaż gazu do obiektu Zamawiającego za pośrednictwem sieci dystrybucyjnej OSD na czas obowiązywania Umowy. </w:t>
      </w:r>
    </w:p>
    <w:p w14:paraId="00F8D4F4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Rozliczenia odbywać się będą zgodnie z okresem rozliczeniowym stosowanym przez OSD na podstawie wskazań układu pomiarowo- rozliczeniowego - odczytów dokonywanych przez OSD.</w:t>
      </w:r>
    </w:p>
    <w:p w14:paraId="650E54B4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lastRenderedPageBreak/>
        <w:t>Paliwo Gazowe pobierane na podstawie Umowy zawartej w wyniku niniejszego postępowania po sprężeniu przez stacje tankownia gazu ziemnego CNG przeznaczone będzie do napędu silników spalinowych (Art. 89 ust. 1 pkt 12 lit. aa) Ustawy o podatku akcyzowym.</w:t>
      </w:r>
    </w:p>
    <w:p w14:paraId="71D462D8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>Wykonawca zobowiązuje się do zapewnienia bilansowania handlowego w zakresie sprzedaży Paliwa gazowego. Tym samym Wykonawca zwalnia Zamawiającego z wszelkich kosztów i obowiązków związanych z bilansowaniem handlowym.</w:t>
      </w:r>
    </w:p>
    <w:p w14:paraId="7BE0DB85" w14:textId="77777777" w:rsidR="009B2FCC" w:rsidRPr="002538C8" w:rsidRDefault="009B2FCC" w:rsidP="009B2FCC">
      <w:pPr>
        <w:pStyle w:val="Akapitzlist"/>
        <w:numPr>
          <w:ilvl w:val="6"/>
          <w:numId w:val="1"/>
        </w:numPr>
        <w:spacing w:after="0" w:line="276" w:lineRule="auto"/>
        <w:ind w:left="567" w:hanging="567"/>
        <w:jc w:val="both"/>
        <w:rPr>
          <w:rFonts w:cstheme="majorHAnsi"/>
          <w:color w:val="002060"/>
        </w:rPr>
      </w:pPr>
      <w:r w:rsidRPr="002538C8">
        <w:rPr>
          <w:rFonts w:cstheme="majorHAnsi"/>
          <w:snapToGrid w:val="0"/>
          <w:color w:val="002060"/>
        </w:rPr>
        <w:t xml:space="preserve">Na fakturach Wykonawca dokona wpisu o treści: </w:t>
      </w:r>
      <w:r w:rsidRPr="002538C8">
        <w:rPr>
          <w:rFonts w:cstheme="majorHAnsi"/>
          <w:color w:val="002060"/>
        </w:rPr>
        <w:t xml:space="preserve">„Ceny netto w [PLN/kWh </w:t>
      </w:r>
      <w:r w:rsidRPr="002538C8">
        <w:rPr>
          <w:rFonts w:cstheme="majorHAnsi"/>
          <w:i/>
          <w:iCs/>
          <w:color w:val="002060"/>
        </w:rPr>
        <w:t>(lub MWh)</w:t>
      </w:r>
      <w:r w:rsidRPr="002538C8">
        <w:rPr>
          <w:rFonts w:cstheme="majorHAnsi"/>
          <w:color w:val="002060"/>
        </w:rPr>
        <w:t>] za paliwo gazowe, zawierają podatek akcyzowy.</w:t>
      </w:r>
    </w:p>
    <w:p w14:paraId="7C52829C" w14:textId="77777777" w:rsidR="009B2FCC" w:rsidRPr="002538C8" w:rsidRDefault="009B2FCC" w:rsidP="009B2FCC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cstheme="majorHAnsi"/>
          <w:b/>
          <w:bCs/>
          <w:color w:val="002060"/>
        </w:rPr>
      </w:pPr>
      <w:r w:rsidRPr="002538C8">
        <w:rPr>
          <w:rFonts w:cstheme="majorHAnsi"/>
          <w:b/>
          <w:bCs/>
          <w:color w:val="002060"/>
        </w:rPr>
        <w:t xml:space="preserve">Standardy jakościowe   </w:t>
      </w:r>
    </w:p>
    <w:p w14:paraId="0469A046" w14:textId="77777777" w:rsidR="009B2FCC" w:rsidRPr="002538C8" w:rsidRDefault="009B2FCC" w:rsidP="009B2FCC">
      <w:pPr>
        <w:spacing w:after="0" w:line="276" w:lineRule="auto"/>
        <w:ind w:left="567"/>
        <w:jc w:val="both"/>
        <w:rPr>
          <w:rFonts w:cstheme="majorHAnsi"/>
          <w:color w:val="002060"/>
        </w:rPr>
      </w:pPr>
      <w:r w:rsidRPr="002538C8">
        <w:rPr>
          <w:rFonts w:cstheme="majorHAnsi"/>
          <w:color w:val="002060"/>
        </w:rPr>
        <w:t xml:space="preserve">Standard jakościowy przedmiotu zamówienia określają przepisy ustawy Prawo energetyczne oraz akty wykonawcze w szczególności rozporządzenie Ministra Gospodarki z dnia 2 lipca 2010 r. w sprawie szczegółowych warunków funkcjonowania systemu gazowego (Dz. U. 2014 r. poz. 1059) z późn. zm., rozporządzenie rady Ministrów z dnia 19 września 2007 r. w sprawie sposobu i trybu wprowadzania ograniczeń w poborze gazu ziemnego (Dz. U. 2007 nr 178, poz. 1252) oraz Polskie Normy. Jakość Paliwa gazowego dostarczanego przez Wykonawcę w miejscu dostarczania musi odpowiadać stosownym uregulowaniom obowiązującym na polskim rynku gazu ziemnego, takim, jak Prawo energetyczne oraz IRiESD (gaz ziemny wysokometanowy z grupy E wg. normy PN-C-04750 dostarczony za pomocą </w:t>
      </w:r>
      <w:r>
        <w:rPr>
          <w:rFonts w:cstheme="majorHAnsi"/>
          <w:color w:val="002060"/>
        </w:rPr>
        <w:t xml:space="preserve">dystrybucyjnej </w:t>
      </w:r>
      <w:r w:rsidRPr="002538C8">
        <w:rPr>
          <w:rFonts w:cstheme="majorHAnsi"/>
          <w:color w:val="002060"/>
        </w:rPr>
        <w:t>sieci gazowej).</w:t>
      </w:r>
    </w:p>
    <w:p w14:paraId="63364BCF" w14:textId="77777777" w:rsidR="009B2FCC" w:rsidRPr="002538C8" w:rsidRDefault="009B2FCC" w:rsidP="009B2FCC">
      <w:pPr>
        <w:pStyle w:val="Default"/>
        <w:spacing w:line="276" w:lineRule="auto"/>
        <w:rPr>
          <w:rFonts w:ascii="Arial Narrow" w:hAnsi="Arial Narrow" w:cstheme="majorHAnsi"/>
          <w:color w:val="002060"/>
          <w:sz w:val="22"/>
          <w:szCs w:val="22"/>
        </w:rPr>
      </w:pPr>
    </w:p>
    <w:p w14:paraId="35072EC0" w14:textId="77777777" w:rsidR="009B2FCC" w:rsidRPr="002538C8" w:rsidRDefault="009B2FCC" w:rsidP="009B2FCC">
      <w:pPr>
        <w:pStyle w:val="Default"/>
        <w:spacing w:line="276" w:lineRule="auto"/>
        <w:rPr>
          <w:rFonts w:ascii="Arial Narrow" w:hAnsi="Arial Narrow" w:cstheme="majorHAnsi"/>
          <w:color w:val="002060"/>
          <w:sz w:val="22"/>
          <w:szCs w:val="22"/>
        </w:rPr>
      </w:pPr>
    </w:p>
    <w:p w14:paraId="6F993A76" w14:textId="77777777" w:rsidR="009B2FCC" w:rsidRPr="002538C8" w:rsidRDefault="009B2FCC" w:rsidP="009B2FCC">
      <w:pPr>
        <w:rPr>
          <w:color w:val="002060"/>
        </w:rPr>
      </w:pPr>
    </w:p>
    <w:p w14:paraId="6464C257" w14:textId="77777777" w:rsidR="009B2FCC" w:rsidRPr="006B35DD" w:rsidRDefault="009B2FCC" w:rsidP="009B2FCC">
      <w:pPr>
        <w:pStyle w:val="Default"/>
        <w:spacing w:line="276" w:lineRule="auto"/>
        <w:rPr>
          <w:rFonts w:ascii="Arial Narrow" w:hAnsi="Arial Narrow" w:cstheme="majorHAnsi"/>
          <w:color w:val="002060"/>
        </w:rPr>
      </w:pPr>
    </w:p>
    <w:p w14:paraId="08807F04" w14:textId="77777777" w:rsidR="009B2FCC" w:rsidRPr="006B35DD" w:rsidRDefault="009B2FCC" w:rsidP="009B2FCC">
      <w:pPr>
        <w:pStyle w:val="Default"/>
        <w:spacing w:line="276" w:lineRule="auto"/>
        <w:rPr>
          <w:rFonts w:ascii="Arial Narrow" w:hAnsi="Arial Narrow" w:cstheme="majorHAnsi"/>
          <w:color w:val="002060"/>
        </w:rPr>
      </w:pPr>
    </w:p>
    <w:p w14:paraId="44957626" w14:textId="77777777" w:rsidR="009B2FCC" w:rsidRPr="006B35DD" w:rsidRDefault="009B2FCC" w:rsidP="009B2FCC">
      <w:pPr>
        <w:spacing w:after="0" w:line="276" w:lineRule="auto"/>
        <w:ind w:left="567"/>
        <w:jc w:val="both"/>
        <w:rPr>
          <w:rFonts w:cstheme="majorHAnsi"/>
          <w:b/>
          <w:bCs/>
          <w:color w:val="002060"/>
          <w:sz w:val="24"/>
          <w:szCs w:val="24"/>
        </w:rPr>
      </w:pPr>
      <w:r w:rsidRPr="006B35DD">
        <w:rPr>
          <w:rFonts w:cstheme="majorHAnsi"/>
          <w:b/>
          <w:bCs/>
          <w:color w:val="002060"/>
          <w:sz w:val="24"/>
          <w:szCs w:val="24"/>
        </w:rPr>
        <w:t>W sprawach nieuregulowanych w niniejszej SWZ (wraz z załącznikami) mają zastosowanie ogólne warunki umowy kompleksowej dostarczania paliwa gazowego obowiązujące u Wykonawcy.</w:t>
      </w:r>
    </w:p>
    <w:p w14:paraId="34E26466" w14:textId="77777777" w:rsidR="009B2FCC" w:rsidRPr="006B35DD" w:rsidRDefault="009B2FCC" w:rsidP="009B2FCC">
      <w:pPr>
        <w:pStyle w:val="Default"/>
        <w:spacing w:line="276" w:lineRule="auto"/>
        <w:rPr>
          <w:rFonts w:ascii="Arial Narrow" w:hAnsi="Arial Narrow" w:cstheme="majorHAnsi"/>
          <w:color w:val="002060"/>
        </w:rPr>
      </w:pPr>
    </w:p>
    <w:p w14:paraId="3CEA17DC" w14:textId="1A4CB657" w:rsidR="00337F2E" w:rsidRPr="009C200A" w:rsidRDefault="00337F2E" w:rsidP="009C200A">
      <w:pPr>
        <w:spacing w:line="276" w:lineRule="auto"/>
        <w:rPr>
          <w:rFonts w:cstheme="majorHAnsi"/>
          <w:color w:val="002060"/>
          <w:sz w:val="24"/>
          <w:szCs w:val="24"/>
        </w:rPr>
      </w:pPr>
    </w:p>
    <w:sectPr w:rsidR="00337F2E" w:rsidRPr="009C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C597E"/>
    <w:multiLevelType w:val="hybridMultilevel"/>
    <w:tmpl w:val="6EDA2AC0"/>
    <w:lvl w:ilvl="0" w:tplc="D7462D7C">
      <w:start w:val="1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76BF7"/>
    <w:multiLevelType w:val="hybridMultilevel"/>
    <w:tmpl w:val="93F6E4A2"/>
    <w:lvl w:ilvl="0" w:tplc="DC6A5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14:textOutline w14:w="9525" w14:cap="rnd" w14:cmpd="sng" w14:algn="ctr">
          <w14:solidFill>
            <w14:schemeClr w14:val="accent4">
              <w14:alpha w14:val="50000"/>
              <w14:lumMod w14:val="20000"/>
              <w14:lumOff w14:val="80000"/>
            </w14:schemeClr>
          </w14:solidFill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14530">
    <w:abstractNumId w:val="1"/>
  </w:num>
  <w:num w:numId="2" w16cid:durableId="2830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CC"/>
    <w:rsid w:val="001567D7"/>
    <w:rsid w:val="00244E78"/>
    <w:rsid w:val="00337F2E"/>
    <w:rsid w:val="00924063"/>
    <w:rsid w:val="009B2FCC"/>
    <w:rsid w:val="009C200A"/>
    <w:rsid w:val="00E75969"/>
    <w:rsid w:val="00F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0E5F"/>
  <w15:chartTrackingRefBased/>
  <w15:docId w15:val="{993B6333-7E3C-4166-8071-F0E6630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FCC"/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F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F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FCC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2,Wypunktowanie,L1,Numerowanie,Akapit z listą5,T_SZ_List Paragraph,normalny tekst,Preambuła,CW_Lista,List Paragraph,2 heading,A_wyliczenie,K-P_odwolanie,maz_wyliczenie,opis dzialania,BulletC,Obiekt,lp1"/>
    <w:basedOn w:val="Normalny"/>
    <w:link w:val="AkapitzlistZnak"/>
    <w:uiPriority w:val="34"/>
    <w:qFormat/>
    <w:rsid w:val="009B2F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F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F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FC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Znak, Znak,Nagłówek strony"/>
    <w:basedOn w:val="Normalny"/>
    <w:link w:val="NagwekZnak"/>
    <w:uiPriority w:val="99"/>
    <w:unhideWhenUsed/>
    <w:rsid w:val="009B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uiPriority w:val="99"/>
    <w:rsid w:val="009B2FCC"/>
    <w:rPr>
      <w:rFonts w:eastAsiaTheme="minorEastAsia"/>
      <w:kern w:val="0"/>
      <w14:ligatures w14:val="none"/>
    </w:rPr>
  </w:style>
  <w:style w:type="paragraph" w:customStyle="1" w:styleId="Default">
    <w:name w:val="Default"/>
    <w:rsid w:val="009B2F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 Znak,Akapit z listą3 Znak,Akapit z listą2 Znak,Wypunktowanie Znak,L1 Znak,Numerowanie Znak,Akapit z listą5 Znak,T_SZ_List Paragraph Znak,normalny tekst Znak,Preambuła Znak,CW_Lista Znak,List Paragraph Znak,2 heading Znak"/>
    <w:link w:val="Akapitzlist"/>
    <w:uiPriority w:val="34"/>
    <w:locked/>
    <w:rsid w:val="009B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Stocki</dc:creator>
  <cp:keywords/>
  <dc:description/>
  <cp:lastModifiedBy>Agnieszka Wadas</cp:lastModifiedBy>
  <cp:revision>3</cp:revision>
  <dcterms:created xsi:type="dcterms:W3CDTF">2024-06-25T06:37:00Z</dcterms:created>
  <dcterms:modified xsi:type="dcterms:W3CDTF">2024-06-26T07:33:00Z</dcterms:modified>
</cp:coreProperties>
</file>