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09702B5" w14:textId="77777777" w:rsidR="00865DA8" w:rsidRDefault="00865DA8"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72F03DFC" w14:textId="77777777" w:rsidR="00865DA8"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SPECYFIKACJA WARUNKÓW ZAMÓWIENIA</w:t>
      </w:r>
      <w:r w:rsidR="00865DA8">
        <w:rPr>
          <w:rFonts w:ascii="Tahoma" w:eastAsiaTheme="majorEastAsia" w:hAnsi="Tahoma" w:cs="Tahoma"/>
          <w:b/>
          <w:sz w:val="28"/>
          <w:szCs w:val="28"/>
          <w:lang w:eastAsia="en-US"/>
        </w:rPr>
        <w:t xml:space="preserve"> </w:t>
      </w:r>
    </w:p>
    <w:p w14:paraId="232575C6" w14:textId="05178905"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 </w:t>
      </w:r>
      <w:r w:rsidR="003546C3" w:rsidRPr="001D575F">
        <w:rPr>
          <w:rFonts w:ascii="Tahoma" w:eastAsiaTheme="majorEastAsia" w:hAnsi="Tahoma" w:cs="Tahoma"/>
          <w:b/>
          <w:sz w:val="28"/>
          <w:szCs w:val="28"/>
          <w:lang w:eastAsia="en-US"/>
        </w:rPr>
        <w:t>(SWZ)</w:t>
      </w:r>
    </w:p>
    <w:p w14:paraId="21DC8E9A" w14:textId="1F204309" w:rsidR="00865DA8" w:rsidRPr="001D575F" w:rsidRDefault="00865DA8"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Pr>
          <w:rFonts w:ascii="Tahoma" w:eastAsiaTheme="majorEastAsia" w:hAnsi="Tahoma" w:cs="Tahoma"/>
          <w:b/>
          <w:sz w:val="28"/>
          <w:szCs w:val="28"/>
          <w:lang w:eastAsia="en-US"/>
        </w:rPr>
        <w:t>ZMIANA 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4ED2028A" w14:textId="77777777"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77777777"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w:t>
      </w:r>
      <w:proofErr w:type="spellStart"/>
      <w:r w:rsidRPr="00E54711">
        <w:rPr>
          <w:rFonts w:ascii="Tahoma" w:hAnsi="Tahoma" w:cs="Tahoma"/>
          <w:lang w:bidi="ar-SA"/>
        </w:rPr>
        <w:t>pn</w:t>
      </w:r>
      <w:proofErr w:type="spellEnd"/>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2AF93A68" w:rsidR="00EB4BFA" w:rsidRPr="0016501C" w:rsidRDefault="0016501C" w:rsidP="009E2D1E">
      <w:pPr>
        <w:ind w:left="360"/>
        <w:jc w:val="both"/>
        <w:rPr>
          <w:rFonts w:ascii="Tahoma" w:hAnsi="Tahoma" w:cs="Tahoma"/>
          <w:b/>
          <w:iCs/>
          <w:sz w:val="32"/>
          <w:szCs w:val="32"/>
        </w:rPr>
      </w:pPr>
      <w:r w:rsidRPr="0016501C">
        <w:rPr>
          <w:rFonts w:ascii="Tahoma" w:hAnsi="Tahoma" w:cs="Tahoma"/>
          <w:b/>
          <w:iCs/>
          <w:sz w:val="32"/>
          <w:szCs w:val="32"/>
        </w:rPr>
        <w:t>„</w:t>
      </w:r>
      <w:r w:rsidR="00B61A2F" w:rsidRPr="00B61A2F">
        <w:rPr>
          <w:rFonts w:ascii="Tahoma" w:hAnsi="Tahoma" w:cs="Tahoma"/>
          <w:b/>
          <w:iCs/>
          <w:sz w:val="28"/>
          <w:szCs w:val="28"/>
        </w:rPr>
        <w:t>MODERNIZACJA DROGI WEWNĘTRZNEJ DO OS. BIEDAKI-FUDRY W MIEJSCOWOŚCI OLSZÓWKA</w:t>
      </w:r>
      <w:r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723B7CFE"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865DA8">
        <w:rPr>
          <w:rFonts w:ascii="Tahoma" w:hAnsi="Tahoma" w:cs="Tahoma"/>
        </w:rPr>
        <w:t>25</w:t>
      </w:r>
      <w:r w:rsidRPr="0016501C">
        <w:rPr>
          <w:rFonts w:ascii="Tahoma" w:hAnsi="Tahoma" w:cs="Tahoma"/>
        </w:rPr>
        <w:t>.0</w:t>
      </w:r>
      <w:r w:rsidR="00314CF7">
        <w:rPr>
          <w:rFonts w:ascii="Tahoma" w:hAnsi="Tahoma" w:cs="Tahoma"/>
        </w:rPr>
        <w:t>4</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77777777"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2543CA0"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z-ca Wójta /-/ Katarzyna </w:t>
      </w:r>
      <w:proofErr w:type="spellStart"/>
      <w:r>
        <w:rPr>
          <w:rFonts w:ascii="Tahoma" w:hAnsi="Tahoma" w:cs="Tahoma"/>
        </w:rPr>
        <w:t>Szybiak</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797252">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17B4C682"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 xml:space="preserve">o którym  mowa  w art. 275 pkt </w:t>
      </w:r>
      <w:r w:rsidR="00865DA8">
        <w:rPr>
          <w:rFonts w:ascii="Tahoma" w:hAnsi="Tahoma" w:cs="Tahoma"/>
        </w:rPr>
        <w:t>1</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bookmarkEnd w:id="1"/>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77777777"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lastRenderedPageBreak/>
        <w:t>5) ofercie częściowej –należy przez to rozumieć ofertę przewidującą, zgodnie z dokumentami zamówienia, wykonanie części zamówienia;</w:t>
      </w:r>
    </w:p>
    <w:p w14:paraId="4FC2AD7F"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865BBD" w:rsidRDefault="00865BBD" w:rsidP="00E83F3C">
      <w:pPr>
        <w:pStyle w:val="Nagwek21"/>
        <w:keepNext/>
        <w:keepLines/>
        <w:shd w:val="clear" w:color="auto" w:fill="auto"/>
        <w:tabs>
          <w:tab w:val="left" w:pos="858"/>
        </w:tabs>
        <w:spacing w:after="0" w:line="260" w:lineRule="exact"/>
        <w:ind w:firstLine="0"/>
        <w:rPr>
          <w:rFonts w:ascii="Tahoma" w:hAnsi="Tahoma" w:cs="Tahoma"/>
          <w:color w:val="auto"/>
          <w:lang w:bidi="ar-SA"/>
        </w:rPr>
      </w:pPr>
      <w:r w:rsidRPr="00865BBD">
        <w:rPr>
          <w:rFonts w:ascii="Tahoma" w:hAnsi="Tahoma" w:cs="Tahoma"/>
          <w:color w:val="auto"/>
          <w:lang w:bidi="ar-SA"/>
        </w:rPr>
        <w:t>DZIAŁ</w:t>
      </w:r>
      <w:r w:rsidR="00572DE6" w:rsidRPr="00865BBD">
        <w:rPr>
          <w:rFonts w:ascii="Tahoma" w:hAnsi="Tahoma" w:cs="Tahoma"/>
          <w:color w:val="auto"/>
          <w:lang w:bidi="ar-SA"/>
        </w:rPr>
        <w:t xml:space="preserve"> </w:t>
      </w:r>
      <w:r w:rsidR="00B1003A" w:rsidRPr="00865BBD">
        <w:rPr>
          <w:rFonts w:ascii="Tahoma" w:hAnsi="Tahoma" w:cs="Tahoma"/>
          <w:color w:val="auto"/>
          <w:lang w:bidi="ar-SA"/>
        </w:rPr>
        <w:t>II. PRZEDMIOT</w:t>
      </w:r>
      <w:r w:rsidR="00B55283" w:rsidRPr="00865BBD">
        <w:rPr>
          <w:rFonts w:ascii="Tahoma" w:hAnsi="Tahoma" w:cs="Tahoma"/>
          <w:color w:val="auto"/>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4EA84690" w14:textId="05564553" w:rsidR="002503B4" w:rsidRDefault="00390998" w:rsidP="00CE7779">
      <w:pPr>
        <w:widowControl/>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14CF7">
        <w:rPr>
          <w:rFonts w:ascii="Tahoma" w:hAnsi="Tahoma" w:cs="Tahoma"/>
          <w:sz w:val="22"/>
          <w:szCs w:val="22"/>
        </w:rPr>
        <w:t xml:space="preserve"> </w:t>
      </w:r>
      <w:proofErr w:type="spellStart"/>
      <w:r w:rsidR="00314CF7">
        <w:rPr>
          <w:rFonts w:ascii="Tahoma" w:hAnsi="Tahoma" w:cs="Tahoma"/>
          <w:sz w:val="22"/>
          <w:szCs w:val="22"/>
        </w:rPr>
        <w:t>Fudry</w:t>
      </w:r>
      <w:proofErr w:type="spellEnd"/>
      <w:r w:rsidR="00314CF7">
        <w:rPr>
          <w:rFonts w:ascii="Tahoma" w:hAnsi="Tahoma" w:cs="Tahoma"/>
          <w:sz w:val="22"/>
          <w:szCs w:val="22"/>
        </w:rPr>
        <w:t xml:space="preserve"> i Bie</w:t>
      </w:r>
      <w:r w:rsidR="00003328">
        <w:rPr>
          <w:rFonts w:ascii="Tahoma" w:hAnsi="Tahoma" w:cs="Tahoma"/>
          <w:sz w:val="22"/>
          <w:szCs w:val="22"/>
        </w:rPr>
        <w:t>d</w:t>
      </w:r>
      <w:r w:rsidR="00314CF7">
        <w:rPr>
          <w:rFonts w:ascii="Tahoma" w:hAnsi="Tahoma" w:cs="Tahoma"/>
          <w:sz w:val="22"/>
          <w:szCs w:val="22"/>
        </w:rPr>
        <w:t>aki</w:t>
      </w:r>
      <w:r w:rsidR="004417D8">
        <w:rPr>
          <w:rFonts w:ascii="Tahoma" w:hAnsi="Tahoma" w:cs="Tahoma"/>
          <w:sz w:val="22"/>
          <w:szCs w:val="22"/>
        </w:rPr>
        <w:t xml:space="preserve"> </w:t>
      </w:r>
      <w:r w:rsidR="00DC71C4">
        <w:rPr>
          <w:rFonts w:ascii="Tahoma" w:hAnsi="Tahoma" w:cs="Tahoma"/>
          <w:sz w:val="22"/>
          <w:szCs w:val="22"/>
        </w:rPr>
        <w:t>obejmujący trzy etapy</w:t>
      </w:r>
      <w:r w:rsidR="00FF2CD4">
        <w:rPr>
          <w:rFonts w:ascii="Tahoma" w:hAnsi="Tahoma" w:cs="Tahoma"/>
          <w:sz w:val="22"/>
          <w:szCs w:val="22"/>
        </w:rPr>
        <w:t>:</w:t>
      </w:r>
      <w:r w:rsidR="00314CF7">
        <w:rPr>
          <w:rFonts w:ascii="Tahoma" w:hAnsi="Tahoma" w:cs="Tahoma"/>
          <w:sz w:val="22"/>
          <w:szCs w:val="22"/>
        </w:rPr>
        <w:t xml:space="preserve"> </w:t>
      </w:r>
    </w:p>
    <w:p w14:paraId="29092F58" w14:textId="20A6D95F" w:rsidR="002503B4"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 xml:space="preserve">I etap </w:t>
      </w:r>
      <w:r w:rsidR="00CC1B38" w:rsidRPr="00A36671">
        <w:rPr>
          <w:rFonts w:ascii="Tahoma" w:hAnsi="Tahoma" w:cs="Tahoma"/>
          <w:color w:val="auto"/>
          <w:sz w:val="22"/>
          <w:szCs w:val="22"/>
          <w:lang w:bidi="ar-SA"/>
        </w:rPr>
        <w:t>n</w:t>
      </w:r>
      <w:r w:rsidR="00347E4D" w:rsidRPr="00A36671">
        <w:rPr>
          <w:rFonts w:ascii="Tahoma" w:hAnsi="Tahoma" w:cs="Tahoma"/>
          <w:color w:val="auto"/>
          <w:sz w:val="22"/>
          <w:szCs w:val="22"/>
          <w:lang w:bidi="ar-SA"/>
        </w:rPr>
        <w:t>a</w:t>
      </w:r>
      <w:r w:rsidR="00CE7779">
        <w:rPr>
          <w:rFonts w:ascii="Tahoma" w:hAnsi="Tahoma" w:cs="Tahoma"/>
          <w:color w:val="auto"/>
          <w:sz w:val="22"/>
          <w:szCs w:val="22"/>
          <w:lang w:bidi="ar-SA"/>
        </w:rPr>
        <w:t xml:space="preserve"> działkach </w:t>
      </w:r>
      <w:r w:rsidR="00CC1B38" w:rsidRPr="00A36671">
        <w:rPr>
          <w:rFonts w:ascii="Tahoma" w:hAnsi="Tahoma" w:cs="Tahoma"/>
          <w:color w:val="auto"/>
          <w:sz w:val="22"/>
          <w:szCs w:val="22"/>
          <w:lang w:bidi="ar-SA"/>
        </w:rPr>
        <w:t xml:space="preserve"> ew. nr </w:t>
      </w:r>
      <w:r>
        <w:rPr>
          <w:rFonts w:ascii="Tahoma" w:hAnsi="Tahoma" w:cs="Tahoma"/>
          <w:color w:val="auto"/>
          <w:sz w:val="22"/>
          <w:szCs w:val="22"/>
          <w:lang w:bidi="ar-SA"/>
        </w:rPr>
        <w:t>306/1, 4783, 4782, 4781, 4780, 4779, 4778, 4777, 4776, 4775, 4774 w km 0+003 – 0+504 w miejscowości Olszówka</w:t>
      </w:r>
      <w:r w:rsidR="00CE7779">
        <w:rPr>
          <w:rFonts w:ascii="Tahoma" w:hAnsi="Tahoma" w:cs="Tahoma"/>
          <w:color w:val="auto"/>
          <w:sz w:val="22"/>
          <w:szCs w:val="22"/>
          <w:lang w:bidi="ar-SA"/>
        </w:rPr>
        <w:t xml:space="preserve"> </w:t>
      </w:r>
    </w:p>
    <w:p w14:paraId="58CE52BC" w14:textId="6DD783A4" w:rsidR="002503B4"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II etap na działkach ew. nr 4785, 4786 w km 0+</w:t>
      </w:r>
      <w:r w:rsidR="00ED7206">
        <w:rPr>
          <w:rFonts w:ascii="Tahoma" w:hAnsi="Tahoma" w:cs="Tahoma"/>
          <w:color w:val="auto"/>
          <w:sz w:val="22"/>
          <w:szCs w:val="22"/>
          <w:lang w:bidi="ar-SA"/>
        </w:rPr>
        <w:t>000</w:t>
      </w:r>
      <w:r>
        <w:rPr>
          <w:rFonts w:ascii="Tahoma" w:hAnsi="Tahoma" w:cs="Tahoma"/>
          <w:color w:val="auto"/>
          <w:sz w:val="22"/>
          <w:szCs w:val="22"/>
          <w:lang w:bidi="ar-SA"/>
        </w:rPr>
        <w:t xml:space="preserve"> – 0+</w:t>
      </w:r>
      <w:r w:rsidR="00ED7206">
        <w:rPr>
          <w:rFonts w:ascii="Tahoma" w:hAnsi="Tahoma" w:cs="Tahoma"/>
          <w:color w:val="auto"/>
          <w:sz w:val="22"/>
          <w:szCs w:val="22"/>
          <w:lang w:bidi="ar-SA"/>
        </w:rPr>
        <w:t>164 w miejscowości Olszówka</w:t>
      </w:r>
    </w:p>
    <w:p w14:paraId="7C897582" w14:textId="3BD4511F" w:rsidR="00CE7779" w:rsidRPr="00ED7206"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III etap na działkach ew. nr  4784 </w:t>
      </w:r>
      <w:r w:rsidR="00ED7206">
        <w:rPr>
          <w:rFonts w:ascii="Tahoma" w:hAnsi="Tahoma" w:cs="Tahoma"/>
          <w:color w:val="auto"/>
          <w:sz w:val="22"/>
          <w:szCs w:val="22"/>
          <w:lang w:bidi="ar-SA"/>
        </w:rPr>
        <w:t xml:space="preserve">w km 0+000 – 0+355 </w:t>
      </w:r>
      <w:r w:rsidR="00CE7779">
        <w:rPr>
          <w:rFonts w:ascii="Tahoma" w:hAnsi="Tahoma" w:cs="Tahoma"/>
          <w:color w:val="auto"/>
          <w:sz w:val="22"/>
          <w:szCs w:val="22"/>
          <w:lang w:bidi="ar-SA"/>
        </w:rPr>
        <w:t xml:space="preserve">w miejscowości </w:t>
      </w:r>
      <w:r>
        <w:rPr>
          <w:rFonts w:ascii="Tahoma" w:hAnsi="Tahoma" w:cs="Tahoma"/>
          <w:color w:val="auto"/>
          <w:sz w:val="22"/>
          <w:szCs w:val="22"/>
          <w:lang w:bidi="ar-SA"/>
        </w:rPr>
        <w:t xml:space="preserve"> Olszówka</w:t>
      </w:r>
      <w:r w:rsidR="00CE7779">
        <w:rPr>
          <w:rFonts w:ascii="Tahoma" w:hAnsi="Tahoma" w:cs="Tahoma"/>
          <w:sz w:val="22"/>
          <w:szCs w:val="22"/>
        </w:rPr>
        <w:t>.</w:t>
      </w:r>
    </w:p>
    <w:p w14:paraId="406DF17D" w14:textId="2C1BAC0C" w:rsidR="00390998" w:rsidRPr="00A36671" w:rsidRDefault="00CE7779" w:rsidP="00CE7779">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sz w:val="22"/>
          <w:szCs w:val="22"/>
        </w:rPr>
        <w:t xml:space="preserve">2. Nazwa zamówienia: </w:t>
      </w:r>
      <w:r w:rsidR="00390998" w:rsidRPr="00A36671">
        <w:rPr>
          <w:rFonts w:ascii="Tahoma" w:hAnsi="Tahoma" w:cs="Tahoma"/>
          <w:sz w:val="22"/>
          <w:szCs w:val="22"/>
        </w:rPr>
        <w:t xml:space="preserve"> </w:t>
      </w:r>
      <w:r w:rsidR="00513835" w:rsidRPr="00A36671">
        <w:rPr>
          <w:rFonts w:ascii="Tahoma" w:hAnsi="Tahoma" w:cs="Tahoma"/>
          <w:b/>
          <w:iCs/>
          <w:sz w:val="22"/>
          <w:szCs w:val="22"/>
        </w:rPr>
        <w:t>„</w:t>
      </w:r>
      <w:r w:rsidR="00B61A2F" w:rsidRPr="00B61A2F">
        <w:rPr>
          <w:rFonts w:ascii="Tahoma" w:hAnsi="Tahoma" w:cs="Tahoma"/>
          <w:b/>
          <w:iCs/>
        </w:rPr>
        <w:t>MODERNIZACJA DROGI WEWNĘTRZNEJ DO OS. BIEDAKI-FUDRY W MIEJSCOWOŚCI OLSZÓWKA</w:t>
      </w:r>
      <w:r w:rsidR="00513835"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3AF6E187"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A36671" w:rsidRPr="00A36671">
        <w:rPr>
          <w:rFonts w:ascii="Tahoma" w:hAnsi="Tahoma" w:cs="Tahoma"/>
          <w:iCs/>
          <w:color w:val="auto"/>
          <w:sz w:val="22"/>
          <w:szCs w:val="22"/>
          <w:lang w:bidi="ar-SA"/>
        </w:rPr>
        <w:t xml:space="preserve"> 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ED7206">
        <w:rPr>
          <w:rFonts w:ascii="Tahoma" w:hAnsi="Tahoma" w:cs="Tahoma"/>
          <w:iCs/>
          <w:color w:val="auto"/>
          <w:sz w:val="22"/>
          <w:szCs w:val="22"/>
          <w:lang w:bidi="ar-SA"/>
        </w:rPr>
        <w:t xml:space="preserve"> przepustów fi 500 PP pod drogą i 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z  powierzchniowym </w:t>
      </w:r>
      <w:r w:rsidR="00D44931">
        <w:rPr>
          <w:rFonts w:ascii="Tahoma" w:hAnsi="Tahoma" w:cs="Tahoma"/>
          <w:iCs/>
          <w:color w:val="auto"/>
          <w:sz w:val="22"/>
          <w:szCs w:val="22"/>
          <w:lang w:bidi="ar-SA"/>
        </w:rPr>
        <w:t xml:space="preserve">utrwaleniem emulsja asfaltową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lastRenderedPageBreak/>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4B0122D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14:paraId="05A21DE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14:paraId="3760BB58"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77777777"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77777777"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777777"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77777777"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77777777"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77777777"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77777777"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77777777"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77777777"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lastRenderedPageBreak/>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74342777" w14:textId="62616C66"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ED7206">
        <w:rPr>
          <w:rFonts w:ascii="Tahoma" w:hAnsi="Tahoma" w:cs="Tahoma"/>
          <w:b/>
          <w:sz w:val="22"/>
          <w:szCs w:val="22"/>
        </w:rPr>
        <w:t>7</w:t>
      </w:r>
      <w:r w:rsidRPr="00572DE6">
        <w:rPr>
          <w:rFonts w:ascii="Tahoma" w:hAnsi="Tahoma" w:cs="Tahoma"/>
          <w:b/>
          <w:sz w:val="22"/>
          <w:szCs w:val="22"/>
        </w:rPr>
        <w:t xml:space="preserve">  miesi</w:t>
      </w:r>
      <w:r w:rsidR="004417D8">
        <w:rPr>
          <w:rFonts w:ascii="Tahoma" w:hAnsi="Tahoma" w:cs="Tahoma"/>
          <w:b/>
          <w:sz w:val="22"/>
          <w:szCs w:val="22"/>
        </w:rPr>
        <w:t>ę</w:t>
      </w:r>
      <w:r w:rsidRPr="00572DE6">
        <w:rPr>
          <w:rFonts w:ascii="Tahoma" w:hAnsi="Tahoma" w:cs="Tahoma"/>
          <w:b/>
          <w:sz w:val="22"/>
          <w:szCs w:val="22"/>
        </w:rPr>
        <w:t>c</w:t>
      </w:r>
      <w:r w:rsidR="00ED7206">
        <w:rPr>
          <w:rFonts w:ascii="Tahoma" w:hAnsi="Tahoma" w:cs="Tahoma"/>
          <w:b/>
          <w:sz w:val="22"/>
          <w:szCs w:val="22"/>
        </w:rPr>
        <w:t>y</w:t>
      </w:r>
      <w:r w:rsidRPr="00572DE6">
        <w:rPr>
          <w:rFonts w:ascii="Tahoma" w:hAnsi="Tahoma" w:cs="Tahoma"/>
          <w:b/>
          <w:sz w:val="22"/>
          <w:szCs w:val="22"/>
        </w:rPr>
        <w:t xml:space="preserve">. </w:t>
      </w:r>
    </w:p>
    <w:p w14:paraId="0FDAEFBA" w14:textId="77777777" w:rsidR="00572DE6" w:rsidRPr="00572DE6" w:rsidRDefault="00572DE6" w:rsidP="00572DE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 </w:t>
      </w:r>
      <w:r w:rsidR="00951C28">
        <w:rPr>
          <w:rFonts w:ascii="Tahoma" w:hAnsi="Tahoma" w:cs="Tahoma"/>
        </w:rPr>
        <w:t xml:space="preserve"> </w:t>
      </w:r>
      <w:r w:rsidRPr="00572DE6">
        <w:rPr>
          <w:rFonts w:ascii="Tahoma" w:hAnsi="Tahoma" w:cs="Tahoma"/>
        </w:rPr>
        <w:t>Termin rozpoczęcia robót liczony od daty podpisania umowy.</w:t>
      </w:r>
    </w:p>
    <w:p w14:paraId="5D2B70D6" w14:textId="77777777" w:rsidR="00572DE6" w:rsidRPr="003E4597" w:rsidRDefault="00572DE6" w:rsidP="00572DE6">
      <w:pPr>
        <w:widowControl/>
        <w:autoSpaceDE w:val="0"/>
        <w:autoSpaceDN w:val="0"/>
        <w:adjustRightInd w:val="0"/>
        <w:rPr>
          <w:rFonts w:ascii="Tahoma" w:hAnsi="Tahoma" w:cs="Tahoma"/>
          <w:b/>
          <w:color w:val="auto"/>
          <w:sz w:val="22"/>
          <w:szCs w:val="22"/>
          <w:lang w:bidi="ar-SA"/>
        </w:rPr>
      </w:pPr>
      <w:r>
        <w:rPr>
          <w:rFonts w:ascii="Tahoma" w:hAnsi="Tahoma" w:cs="Tahoma"/>
          <w:color w:val="auto"/>
          <w:sz w:val="22"/>
          <w:szCs w:val="22"/>
          <w:lang w:bidi="ar-SA"/>
        </w:rPr>
        <w:t xml:space="preserve"> </w:t>
      </w:r>
    </w:p>
    <w:p w14:paraId="66949968" w14:textId="7777777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77777777"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77777777"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 xml:space="preserve">Dział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77777777"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P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77777777"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P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77777777"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77777777"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tytułu rękojmi za wady fizyczne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77777777"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 xml:space="preserve">y </w:t>
      </w:r>
      <w:r w:rsidR="00356235" w:rsidRPr="00572DE6">
        <w:rPr>
          <w:rFonts w:ascii="Tahoma" w:hAnsi="Tahoma" w:cs="Tahoma"/>
        </w:rPr>
        <w:lastRenderedPageBreak/>
        <w:t>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77777777"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osoby fizyczne prowadzące działalność gospodarczą w postaci tzw. samozatrudnienia,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14:paraId="6F7A7BE0" w14:textId="77777777" w:rsidR="00FA5631" w:rsidRDefault="00FA5631" w:rsidP="000D7D59">
      <w:pPr>
        <w:pStyle w:val="Default"/>
        <w:spacing w:after="120"/>
        <w:rPr>
          <w:rFonts w:ascii="Tahoma" w:hAnsi="Tahoma" w:cs="Tahoma"/>
          <w:sz w:val="22"/>
          <w:szCs w:val="22"/>
        </w:rPr>
      </w:pPr>
    </w:p>
    <w:p w14:paraId="48EF2F7E" w14:textId="331DDC6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77777777"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 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7301399" w14:textId="77777777" w:rsidR="00BD711B"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1A6CAEB9" w14:textId="77777777" w:rsidR="00FA5631" w:rsidRPr="00FA5631" w:rsidRDefault="00FA5631"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77777777"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77777777"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F11CA9D" w14:textId="77777777" w:rsidR="00142FF7" w:rsidRPr="007D2A48"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Pr="007D2A48">
        <w:rPr>
          <w:rStyle w:val="Teksttreci52"/>
          <w:rFonts w:ascii="Tahoma" w:hAnsi="Tahoma" w:cs="Tahoma"/>
          <w:bCs w:val="0"/>
          <w:color w:val="auto"/>
          <w:sz w:val="28"/>
          <w:szCs w:val="28"/>
        </w:rPr>
        <w:t>o środkach komunikacji elektronicznej,</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przy użyciu których Zamawiający będzie komunikował się z wykonawcami,</w:t>
      </w:r>
      <w:r w:rsidR="007D2A48">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oraz informacje o wymaganiach technicznych i or</w:t>
      </w:r>
      <w:r w:rsidR="00E434AD" w:rsidRPr="007D2A48">
        <w:rPr>
          <w:rStyle w:val="Teksttreci52"/>
          <w:rFonts w:ascii="Tahoma" w:hAnsi="Tahoma" w:cs="Tahoma"/>
          <w:bCs w:val="0"/>
          <w:color w:val="auto"/>
          <w:sz w:val="28"/>
          <w:szCs w:val="28"/>
        </w:rPr>
        <w:t xml:space="preserve">ganizacyjnych sporządzania, </w:t>
      </w:r>
      <w:r w:rsidR="00142FF7" w:rsidRPr="007D2A48">
        <w:rPr>
          <w:rStyle w:val="Teksttreci52"/>
          <w:rFonts w:ascii="Tahoma" w:hAnsi="Tahoma" w:cs="Tahoma"/>
          <w:bCs w:val="0"/>
          <w:color w:val="auto"/>
          <w:sz w:val="28"/>
          <w:szCs w:val="28"/>
        </w:rPr>
        <w:t>wysyłania i odbierania korespondencji elektronicznej</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lastRenderedPageBreak/>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77777777"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 xml:space="preserve">Dział </w:t>
      </w:r>
      <w:r w:rsidR="00077C69" w:rsidRPr="00AA1A1E">
        <w:rPr>
          <w:rFonts w:ascii="Tahoma" w:hAnsi="Tahoma" w:cs="Tahoma"/>
          <w:b/>
          <w:sz w:val="28"/>
          <w:szCs w:val="28"/>
        </w:rPr>
        <w:t xml:space="preserve">V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02FBC474"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5C260B">
        <w:rPr>
          <w:rFonts w:ascii="Tahoma" w:hAnsi="Tahoma" w:cs="Tahoma"/>
          <w:color w:val="auto"/>
          <w:sz w:val="22"/>
          <w:szCs w:val="22"/>
          <w:lang w:bidi="ar-SA"/>
        </w:rPr>
        <w:t>500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77777777"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odpowiednie w zakresie niezbędnym do realizacji przedmiotu zamówienia</w:t>
      </w:r>
      <w:r w:rsidR="00933320">
        <w:rPr>
          <w:rFonts w:ascii="Tahoma" w:hAnsi="Tahoma" w:cs="Tahoma"/>
          <w:bCs/>
          <w:sz w:val="22"/>
          <w:szCs w:val="22"/>
        </w:rPr>
        <w:t xml:space="preserve"> .</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77777777"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5. Zamawiający wymaga, aby zobowiązanie podmiotu udostępniającego zasoby, o którym mowa w pkt 3, potwierdzał, że stosunek łączący wykonawcę z podmiotami udostępniającymi zasoby gwarantował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5FA47A48" w14:textId="77777777" w:rsid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 </w:t>
      </w:r>
      <w:r>
        <w:rPr>
          <w:rFonts w:ascii="Tahoma" w:hAnsi="Tahoma" w:cs="Tahoma"/>
          <w:b/>
          <w:bCs/>
          <w:iCs/>
          <w:sz w:val="28"/>
          <w:szCs w:val="28"/>
        </w:rPr>
        <w:t xml:space="preserve">    </w:t>
      </w:r>
    </w:p>
    <w:p w14:paraId="43F3F76B" w14:textId="77777777" w:rsidR="00077C69" w:rsidRP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lastRenderedPageBreak/>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77777777" w:rsidR="000C5257" w:rsidRPr="00EC12B7"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w:t>
      </w:r>
      <w:r w:rsidRPr="007A261F">
        <w:rPr>
          <w:rFonts w:ascii="Tahoma" w:hAnsi="Tahoma" w:cs="Tahoma"/>
          <w:sz w:val="22"/>
          <w:szCs w:val="22"/>
          <w:lang w:bidi="ar-SA"/>
        </w:rPr>
        <w:lastRenderedPageBreak/>
        <w:t xml:space="preserve">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1D5408C4" w14:textId="1C795D4E" w:rsidR="00833216" w:rsidRDefault="000050B8" w:rsidP="00833216">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69D2578D" w14:textId="77777777" w:rsidR="00833216" w:rsidRDefault="00833216" w:rsidP="00833216">
      <w:pPr>
        <w:widowControl/>
        <w:autoSpaceDE w:val="0"/>
        <w:autoSpaceDN w:val="0"/>
        <w:adjustRightInd w:val="0"/>
        <w:rPr>
          <w:rFonts w:ascii="Tahoma" w:hAnsi="Tahoma" w:cs="Tahoma"/>
          <w:sz w:val="22"/>
          <w:szCs w:val="22"/>
          <w:lang w:bidi="ar-SA"/>
        </w:rPr>
      </w:pPr>
    </w:p>
    <w:p w14:paraId="09310281" w14:textId="5BD1DE8F" w:rsidR="000050B8" w:rsidRPr="000050B8" w:rsidRDefault="000050B8" w:rsidP="00833216">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77777777"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lastRenderedPageBreak/>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7777777" w:rsidR="00763684" w:rsidRPr="00B5416A"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39DFD285"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BA5D2F">
        <w:rPr>
          <w:rFonts w:ascii="Tahoma" w:hAnsi="Tahoma" w:cs="Tahoma"/>
          <w:b/>
          <w:bCs/>
          <w:color w:val="auto"/>
          <w:sz w:val="22"/>
          <w:szCs w:val="22"/>
          <w:lang w:bidi="ar-SA"/>
        </w:rPr>
        <w:t>2</w:t>
      </w:r>
      <w:r w:rsidR="005A3B2C">
        <w:rPr>
          <w:rFonts w:ascii="Tahoma" w:hAnsi="Tahoma" w:cs="Tahoma"/>
          <w:b/>
          <w:bCs/>
          <w:color w:val="auto"/>
          <w:sz w:val="22"/>
          <w:szCs w:val="22"/>
          <w:lang w:bidi="ar-SA"/>
        </w:rPr>
        <w:t>8</w:t>
      </w:r>
      <w:r w:rsidR="00BA5D2F">
        <w:rPr>
          <w:rFonts w:ascii="Tahoma" w:hAnsi="Tahoma" w:cs="Tahoma"/>
          <w:b/>
          <w:bCs/>
          <w:color w:val="auto"/>
          <w:sz w:val="22"/>
          <w:szCs w:val="22"/>
          <w:lang w:bidi="ar-SA"/>
        </w:rPr>
        <w:t>.05</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203C60DA"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5A3B2C">
        <w:rPr>
          <w:rFonts w:ascii="Tahoma" w:hAnsi="Tahoma" w:cs="Tahoma"/>
          <w:b/>
          <w:bCs/>
          <w:sz w:val="22"/>
          <w:szCs w:val="22"/>
          <w:lang w:bidi="ar-SA"/>
        </w:rPr>
        <w:t>29</w:t>
      </w:r>
      <w:r w:rsidRPr="002D7695">
        <w:rPr>
          <w:rFonts w:ascii="Tahoma" w:hAnsi="Tahoma" w:cs="Tahoma"/>
          <w:b/>
          <w:bCs/>
          <w:sz w:val="22"/>
          <w:szCs w:val="22"/>
          <w:lang w:bidi="ar-SA"/>
        </w:rPr>
        <w:t>.</w:t>
      </w:r>
      <w:r w:rsidR="00C64F93">
        <w:rPr>
          <w:rFonts w:ascii="Tahoma" w:hAnsi="Tahoma" w:cs="Tahoma"/>
          <w:b/>
          <w:bCs/>
          <w:sz w:val="22"/>
          <w:szCs w:val="22"/>
          <w:lang w:bidi="ar-SA"/>
        </w:rPr>
        <w:t>0</w:t>
      </w:r>
      <w:r w:rsidR="00BA5D2F">
        <w:rPr>
          <w:rFonts w:ascii="Tahoma" w:hAnsi="Tahoma" w:cs="Tahoma"/>
          <w:b/>
          <w:bCs/>
          <w:sz w:val="22"/>
          <w:szCs w:val="22"/>
          <w:lang w:bidi="ar-SA"/>
        </w:rPr>
        <w:t>4</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53A6C761"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5A3B2C">
        <w:rPr>
          <w:rFonts w:ascii="Tahoma" w:hAnsi="Tahoma" w:cs="Tahoma"/>
          <w:b/>
          <w:bCs/>
          <w:sz w:val="22"/>
          <w:szCs w:val="22"/>
          <w:lang w:bidi="ar-SA"/>
        </w:rPr>
        <w:t>29</w:t>
      </w:r>
      <w:r w:rsidRPr="002D7695">
        <w:rPr>
          <w:rFonts w:ascii="Tahoma" w:hAnsi="Tahoma" w:cs="Tahoma"/>
          <w:b/>
          <w:bCs/>
          <w:sz w:val="22"/>
          <w:szCs w:val="22"/>
          <w:lang w:bidi="ar-SA"/>
        </w:rPr>
        <w:t>.</w:t>
      </w:r>
      <w:r w:rsidR="00121781">
        <w:rPr>
          <w:rFonts w:ascii="Tahoma" w:hAnsi="Tahoma" w:cs="Tahoma"/>
          <w:b/>
          <w:bCs/>
          <w:sz w:val="22"/>
          <w:szCs w:val="22"/>
          <w:lang w:bidi="ar-SA"/>
        </w:rPr>
        <w:t>0</w:t>
      </w:r>
      <w:r w:rsidR="00BA5D2F">
        <w:rPr>
          <w:rFonts w:ascii="Tahoma" w:hAnsi="Tahoma" w:cs="Tahoma"/>
          <w:b/>
          <w:bCs/>
          <w:sz w:val="22"/>
          <w:szCs w:val="22"/>
          <w:lang w:bidi="ar-SA"/>
        </w:rPr>
        <w:t>4</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lastRenderedPageBreak/>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7777777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lastRenderedPageBreak/>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B2F12A5" w14:textId="77777777" w:rsid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Wykonawcy/podwykonawcy/podmioty trzecie </w:t>
      </w:r>
      <w:r>
        <w:rPr>
          <w:rFonts w:ascii="Tahoma" w:eastAsiaTheme="majorEastAsia" w:hAnsi="Tahoma" w:cs="Tahoma"/>
          <w:b/>
          <w:color w:val="auto"/>
          <w:sz w:val="28"/>
          <w:szCs w:val="28"/>
          <w:lang w:eastAsia="en-US"/>
        </w:rPr>
        <w:t xml:space="preserve">             </w:t>
      </w:r>
    </w:p>
    <w:p w14:paraId="57EB457E" w14:textId="77777777" w:rsidR="006D0E41" w:rsidRP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udostępniające </w:t>
      </w:r>
      <w:r w:rsidR="00F15975" w:rsidRPr="00CA00F2">
        <w:rPr>
          <w:rFonts w:ascii="Tahoma" w:eastAsiaTheme="majorEastAsia" w:hAnsi="Tahoma" w:cs="Tahoma"/>
          <w:b/>
          <w:color w:val="auto"/>
          <w:sz w:val="28"/>
          <w:szCs w:val="28"/>
          <w:lang w:eastAsia="en-US"/>
        </w:rPr>
        <w:t xml:space="preserve">wykonawcy  </w:t>
      </w:r>
      <w:r w:rsidR="006D0E41" w:rsidRPr="00CA00F2">
        <w:rPr>
          <w:rFonts w:ascii="Tahoma" w:eastAsiaTheme="majorEastAsia" w:hAnsi="Tahoma" w:cs="Tahoma"/>
          <w:b/>
          <w:color w:val="auto"/>
          <w:sz w:val="28"/>
          <w:szCs w:val="28"/>
          <w:lang w:eastAsia="en-US"/>
        </w:rPr>
        <w:t>swój potencjał</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7777777"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Zamawiający nie zastrzega obowiązku osobistego wykonania przez wykonawcę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lastRenderedPageBreak/>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7777777"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777777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7777777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w:t>
      </w:r>
      <w:r w:rsidR="00692220"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KLAUZULA INFORMACYJNA O PRZETWARZANIU </w:t>
      </w:r>
    </w:p>
    <w:p w14:paraId="2FB0DFF3" w14:textId="77777777" w:rsidR="00332107" w:rsidRPr="009F36A3"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lastRenderedPageBreak/>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Administratorowi, z wyjątkiem sytuacji, w której </w:t>
      </w:r>
      <w:r w:rsidRPr="009038D6">
        <w:rPr>
          <w:rFonts w:ascii="Tahoma" w:hAnsi="Tahoma" w:cs="Tahoma"/>
          <w:sz w:val="22"/>
          <w:szCs w:val="22"/>
          <w:lang w:bidi="ar-SA"/>
        </w:rPr>
        <w:lastRenderedPageBreak/>
        <w:t>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Pr="009038D6">
        <w:rPr>
          <w:rFonts w:ascii="Tahoma" w:eastAsiaTheme="majorEastAsia" w:hAnsi="Tahoma" w:cs="Tahoma"/>
          <w:sz w:val="22"/>
          <w:szCs w:val="22"/>
          <w:lang w:eastAsia="en-US"/>
        </w:rPr>
        <w:lastRenderedPageBreak/>
        <w:t xml:space="preserve">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797252">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C6DC" w14:textId="77777777" w:rsidR="00797252" w:rsidRDefault="00797252">
      <w:r>
        <w:separator/>
      </w:r>
    </w:p>
  </w:endnote>
  <w:endnote w:type="continuationSeparator" w:id="0">
    <w:p w14:paraId="731B0BF9" w14:textId="77777777" w:rsidR="00797252" w:rsidRDefault="0079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6FDB" w14:textId="77777777" w:rsidR="00797252" w:rsidRDefault="00797252"/>
  </w:footnote>
  <w:footnote w:type="continuationSeparator" w:id="0">
    <w:p w14:paraId="358AC563" w14:textId="77777777" w:rsidR="00797252" w:rsidRDefault="00797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041CB1F9"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314CF7">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3E20"/>
    <w:rsid w:val="005B46E0"/>
    <w:rsid w:val="005B66A6"/>
    <w:rsid w:val="005B721F"/>
    <w:rsid w:val="005C0D3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97252"/>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7941"/>
    <w:rsid w:val="008017FD"/>
    <w:rsid w:val="00803268"/>
    <w:rsid w:val="008035CB"/>
    <w:rsid w:val="00806990"/>
    <w:rsid w:val="008105CC"/>
    <w:rsid w:val="00813D04"/>
    <w:rsid w:val="0081553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5DA8"/>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64BF"/>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9835</Words>
  <Characters>59016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2</cp:revision>
  <cp:lastPrinted>2024-04-12T12:58:00Z</cp:lastPrinted>
  <dcterms:created xsi:type="dcterms:W3CDTF">2024-04-25T07:26:00Z</dcterms:created>
  <dcterms:modified xsi:type="dcterms:W3CDTF">2024-04-25T07:26:00Z</dcterms:modified>
</cp:coreProperties>
</file>