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7BB71C12" w:rsidR="00F125F1" w:rsidRPr="00D97F9B" w:rsidRDefault="0013306B" w:rsidP="00D97F9B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F8264F" w:rsidRPr="00F8264F">
        <w:rPr>
          <w:rFonts w:ascii="Arial" w:hAnsi="Arial" w:cs="Arial"/>
          <w:b/>
          <w:bCs/>
          <w:iCs/>
          <w:lang w:val="x-none"/>
        </w:rPr>
        <w:t>Dostawę materiałów introligatorskich, poligraficznych, grawerskich oraz płyt offsetowych dla potrzeb jednostek będących na zaopatrzeniu Jednostki Wojskowej Nr 6021</w:t>
      </w:r>
      <w:bookmarkStart w:id="1" w:name="_GoBack"/>
      <w:bookmarkEnd w:id="1"/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2CFEF3AC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1FCE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C95F" w14:textId="7EDC22A6" w:rsidR="00F3767A" w:rsidRDefault="00F3767A" w:rsidP="00F3767A">
    <w:pPr>
      <w:tabs>
        <w:tab w:val="left" w:pos="3024"/>
        <w:tab w:val="left" w:pos="3874"/>
      </w:tabs>
      <w:spacing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bookmarkStart w:id="4" w:name="_Hlk108307102"/>
    <w:bookmarkStart w:id="5" w:name="_Hlk108307103"/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F8264F">
      <w:rPr>
        <w:rFonts w:ascii="Arial" w:hAnsi="Arial" w:cs="Arial"/>
        <w:b/>
        <w:sz w:val="20"/>
        <w:szCs w:val="20"/>
      </w:rPr>
      <w:t>01/2025/PN/Szkol i KO</w:t>
    </w:r>
  </w:p>
  <w:bookmarkEnd w:id="4"/>
  <w:bookmarkEnd w:id="5"/>
  <w:p w14:paraId="2E11172F" w14:textId="77777777" w:rsidR="00F3767A" w:rsidRDefault="00F376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5FFFC0F-7C82-4179-A138-6915A900B70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Mosakowska Kinga</cp:lastModifiedBy>
  <cp:revision>62</cp:revision>
  <cp:lastPrinted>2023-09-19T09:00:00Z</cp:lastPrinted>
  <dcterms:created xsi:type="dcterms:W3CDTF">2022-06-05T05:45:00Z</dcterms:created>
  <dcterms:modified xsi:type="dcterms:W3CDTF">2025-01-23T07:48:00Z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