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44"/>
        <w:gridCol w:w="7743"/>
      </w:tblGrid>
      <w:tr w:rsidR="00F9433F" w:rsidRPr="00DA0874" w14:paraId="06177AA1" w14:textId="77777777" w:rsidTr="00B60BD3">
        <w:tc>
          <w:tcPr>
            <w:tcW w:w="1526" w:type="dxa"/>
          </w:tcPr>
          <w:p w14:paraId="3073DEFA" w14:textId="77777777" w:rsidR="00F9433F" w:rsidRPr="00DA0874" w:rsidRDefault="006B60BA"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65pt;height:73.6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1D4A4BF1" w14:textId="51A1C22B" w:rsidR="00500D86" w:rsidRPr="006A3206" w:rsidRDefault="006A3206" w:rsidP="006A3206">
      <w:pPr>
        <w:jc w:val="center"/>
        <w:rPr>
          <w:rFonts w:ascii="Tahoma" w:hAnsi="Tahoma" w:cs="Tahoma"/>
          <w:b/>
          <w:color w:val="0070C0"/>
        </w:rPr>
      </w:pPr>
      <w:r w:rsidRPr="006A3924">
        <w:rPr>
          <w:rFonts w:ascii="Tahoma" w:hAnsi="Tahoma" w:cs="Tahoma"/>
          <w:b/>
          <w:color w:val="0070C0"/>
        </w:rPr>
        <w:t xml:space="preserve">Kompleksowa usługa odbioru i przekazania do zagospodarowania niesegregowanych (zmieszanych) odpadów komunalnych, zmieszanych odpadów opakowaniowych oraz odbierania i przekazywania do instalacji odzysku lub unieszkodliwienia selektywnie zebranych odpadów komunalnych WS-SPZOZ wraz z </w:t>
      </w:r>
      <w:r w:rsidR="007829A4">
        <w:rPr>
          <w:rFonts w:ascii="Tahoma" w:hAnsi="Tahoma" w:cs="Tahoma"/>
          <w:b/>
          <w:color w:val="0070C0"/>
        </w:rPr>
        <w:t>najmem</w:t>
      </w:r>
      <w:r w:rsidRPr="006A3924">
        <w:rPr>
          <w:rFonts w:ascii="Tahoma" w:hAnsi="Tahoma" w:cs="Tahoma"/>
          <w:b/>
          <w:color w:val="0070C0"/>
        </w:rPr>
        <w:t xml:space="preserve"> prasokontenera, pojemników o poj. 1100 l oraz poj. 120 l</w:t>
      </w: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3123E085" w14:textId="058CEF49" w:rsidR="006A3206" w:rsidRPr="006A3206" w:rsidRDefault="006A3206" w:rsidP="00132397">
      <w:pPr>
        <w:tabs>
          <w:tab w:val="left" w:pos="360"/>
          <w:tab w:val="left" w:pos="993"/>
        </w:tabs>
        <w:suppressAutoHyphens/>
        <w:rPr>
          <w:rFonts w:ascii="Tahoma" w:hAnsi="Tahoma"/>
          <w:b/>
          <w:sz w:val="18"/>
          <w:szCs w:val="18"/>
        </w:rPr>
      </w:pPr>
      <w:r w:rsidRPr="006E63D0">
        <w:rPr>
          <w:rFonts w:ascii="Tahoma" w:hAnsi="Tahoma"/>
          <w:sz w:val="18"/>
          <w:szCs w:val="18"/>
        </w:rPr>
        <w:t>3.</w:t>
      </w:r>
      <w:r>
        <w:rPr>
          <w:rFonts w:ascii="Tahoma" w:hAnsi="Tahoma"/>
          <w:color w:val="FF0000"/>
          <w:sz w:val="18"/>
          <w:szCs w:val="18"/>
        </w:rPr>
        <w:t xml:space="preserve">    </w:t>
      </w:r>
      <w:r>
        <w:rPr>
          <w:rFonts w:ascii="Tahoma" w:hAnsi="Tahoma"/>
          <w:sz w:val="18"/>
          <w:szCs w:val="18"/>
        </w:rPr>
        <w:t>Opis przedmiotu zamówienia</w:t>
      </w:r>
    </w:p>
    <w:p w14:paraId="4ED8B1FF" w14:textId="2F1E5A69" w:rsidR="00E064EB" w:rsidRDefault="006A3206" w:rsidP="00132397">
      <w:pPr>
        <w:tabs>
          <w:tab w:val="left" w:pos="360"/>
          <w:tab w:val="left" w:pos="993"/>
        </w:tabs>
        <w:rPr>
          <w:rFonts w:ascii="Tahoma" w:hAnsi="Tahoma" w:cs="Tahoma"/>
          <w:color w:val="0070C0"/>
          <w:sz w:val="18"/>
          <w:szCs w:val="18"/>
        </w:rPr>
      </w:pPr>
      <w:r>
        <w:rPr>
          <w:rFonts w:ascii="Tahoma" w:hAnsi="Tahoma"/>
          <w:sz w:val="18"/>
          <w:szCs w:val="18"/>
        </w:rPr>
        <w:t>4</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BA1E55C" w14:textId="77777777" w:rsidR="006A3206" w:rsidRPr="00132397" w:rsidRDefault="006A3206" w:rsidP="006A3206">
      <w:pPr>
        <w:tabs>
          <w:tab w:val="left" w:pos="360"/>
          <w:tab w:val="left" w:pos="993"/>
        </w:tabs>
        <w:rPr>
          <w:rFonts w:ascii="Tahoma" w:hAnsi="Tahoma" w:cs="Tahoma"/>
          <w:color w:val="0070C0"/>
          <w:sz w:val="18"/>
          <w:szCs w:val="18"/>
        </w:rPr>
      </w:pPr>
      <w:r>
        <w:rPr>
          <w:rFonts w:ascii="Tahoma" w:hAnsi="Tahoma"/>
          <w:sz w:val="18"/>
          <w:szCs w:val="18"/>
        </w:rPr>
        <w:t>5</w:t>
      </w:r>
      <w:r w:rsidRPr="00132397">
        <w:rPr>
          <w:rFonts w:ascii="Tahoma" w:hAnsi="Tahoma"/>
          <w:sz w:val="18"/>
          <w:szCs w:val="18"/>
        </w:rPr>
        <w:t xml:space="preserve">.    Oświadczenie wykonawcy dotyczące spełnienia warunków udziału w postępowaniu </w:t>
      </w:r>
      <w:r w:rsidRPr="00132397">
        <w:rPr>
          <w:rFonts w:ascii="Tahoma" w:hAnsi="Tahoma" w:cs="Tahoma"/>
          <w:color w:val="0070C0"/>
          <w:sz w:val="18"/>
          <w:szCs w:val="18"/>
        </w:rPr>
        <w:t xml:space="preserve">(wypełniony </w:t>
      </w:r>
    </w:p>
    <w:p w14:paraId="41B36E79" w14:textId="5FE130D3" w:rsidR="006A3206" w:rsidRPr="006A3206" w:rsidRDefault="006A3206" w:rsidP="006A3206">
      <w:pPr>
        <w:tabs>
          <w:tab w:val="left" w:pos="360"/>
          <w:tab w:val="left" w:pos="993"/>
        </w:tabs>
        <w:ind w:left="6096"/>
        <w:rPr>
          <w:rFonts w:ascii="Tahoma" w:hAnsi="Tahoma"/>
          <w:color w:val="0070C0"/>
          <w:sz w:val="18"/>
          <w:szCs w:val="18"/>
        </w:rPr>
      </w:pPr>
      <w:r w:rsidRPr="00132397">
        <w:rPr>
          <w:rFonts w:ascii="Tahoma" w:hAnsi="Tahoma" w:cs="Tahoma"/>
          <w:color w:val="0070C0"/>
          <w:sz w:val="18"/>
          <w:szCs w:val="18"/>
        </w:rPr>
        <w:t>załączyć do oferty</w:t>
      </w:r>
      <w:r>
        <w:rPr>
          <w:rFonts w:ascii="Tahoma" w:hAnsi="Tahoma" w:cs="Tahoma"/>
          <w:color w:val="0070C0"/>
          <w:sz w:val="18"/>
          <w:szCs w:val="18"/>
        </w:rPr>
        <w:t>)</w:t>
      </w:r>
    </w:p>
    <w:p w14:paraId="178066EE" w14:textId="420B059F" w:rsidR="00132397" w:rsidRDefault="006A3206" w:rsidP="00132397">
      <w:pPr>
        <w:rPr>
          <w:rFonts w:ascii="Tahoma" w:hAnsi="Tahoma"/>
          <w:sz w:val="18"/>
          <w:szCs w:val="18"/>
        </w:rPr>
      </w:pPr>
      <w:r>
        <w:rPr>
          <w:rFonts w:ascii="Tahoma" w:hAnsi="Tahoma"/>
          <w:sz w:val="18"/>
          <w:szCs w:val="18"/>
        </w:rPr>
        <w:t>6</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54888747" w:rsidR="00FA6B1B" w:rsidRDefault="00BB0BF0" w:rsidP="00023C96">
      <w:pPr>
        <w:numPr>
          <w:ilvl w:val="1"/>
          <w:numId w:val="42"/>
        </w:numPr>
        <w:spacing w:before="100"/>
        <w:ind w:left="709" w:hanging="425"/>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7F870AE7" w14:textId="1349C538" w:rsidR="009D68F5" w:rsidRDefault="00023C96" w:rsidP="00023C96">
      <w:pPr>
        <w:jc w:val="both"/>
        <w:rPr>
          <w:b/>
          <w:bCs/>
        </w:rPr>
      </w:pPr>
      <w:r w:rsidRPr="00023C96">
        <w:rPr>
          <w:b/>
          <w:bCs/>
        </w:rPr>
        <w:t xml:space="preserve">      </w:t>
      </w:r>
      <w:r>
        <w:rPr>
          <w:b/>
          <w:bCs/>
        </w:rPr>
        <w:t xml:space="preserve">        </w:t>
      </w:r>
      <w:hyperlink r:id="rId13" w:history="1">
        <w:r w:rsidRPr="00A73056">
          <w:rPr>
            <w:rStyle w:val="Hipercze"/>
            <w:rFonts w:ascii="Open Sans" w:hAnsi="Open Sans" w:cs="Open Sans"/>
            <w:b/>
            <w:bCs/>
            <w:sz w:val="19"/>
            <w:szCs w:val="19"/>
            <w:highlight w:val="yellow"/>
            <w:shd w:val="clear" w:color="auto" w:fill="FFFFFF"/>
          </w:rPr>
          <w:t>https://platformazakupowa.pl/transakcja/1055444</w:t>
        </w:r>
      </w:hyperlink>
    </w:p>
    <w:p w14:paraId="0C78839D" w14:textId="77777777" w:rsidR="00023C96" w:rsidRPr="00023C96" w:rsidRDefault="00023C96" w:rsidP="000428E2">
      <w:pPr>
        <w:ind w:left="284"/>
        <w:jc w:val="both"/>
        <w:rPr>
          <w:rFonts w:ascii="Tahoma" w:hAnsi="Tahoma" w:cs="Tahoma"/>
          <w:b/>
          <w:bCs/>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6FC89A81" w:rsidR="0097541B" w:rsidRPr="00366079" w:rsidRDefault="00F7117A" w:rsidP="00366079">
      <w:pPr>
        <w:pStyle w:val="Default"/>
        <w:ind w:left="426" w:hanging="426"/>
        <w:jc w:val="both"/>
        <w:rPr>
          <w:rFonts w:ascii="Tahoma" w:hAnsi="Tahoma" w:cs="Tahoma"/>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585057" w:rsidRPr="00585057">
        <w:rPr>
          <w:rFonts w:ascii="Tahoma" w:hAnsi="Tahoma" w:cs="Tahoma"/>
          <w:b/>
          <w:bCs/>
          <w:sz w:val="18"/>
          <w:szCs w:val="18"/>
        </w:rPr>
        <w:t xml:space="preserve">nie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w:t>
      </w:r>
      <w:r w:rsidR="000658E4">
        <w:rPr>
          <w:rFonts w:ascii="Tahoma" w:hAnsi="Tahoma" w:cs="Tahoma"/>
          <w:sz w:val="18"/>
          <w:szCs w:val="18"/>
        </w:rPr>
        <w:t>e</w:t>
      </w:r>
      <w:r w:rsidR="00C3133A" w:rsidRPr="00C3133A">
        <w:rPr>
          <w:rFonts w:ascii="Tahoma" w:hAnsi="Tahoma" w:cs="Tahoma"/>
          <w:sz w:val="18"/>
          <w:szCs w:val="18"/>
        </w:rPr>
        <w:t xml:space="preserve"> ofert częściowych.</w:t>
      </w:r>
      <w:r w:rsidR="00C3133A" w:rsidRPr="00C3133A">
        <w:rPr>
          <w:rFonts w:ascii="Tahoma" w:hAnsi="Tahoma" w:cs="Tahoma"/>
          <w:b/>
          <w:bCs/>
        </w:rPr>
        <w:t xml:space="preserve"> </w:t>
      </w:r>
      <w:r w:rsidR="00366079">
        <w:rPr>
          <w:rFonts w:ascii="Tahoma" w:hAnsi="Tahoma" w:cs="Tahoma"/>
          <w:b/>
          <w:bCs/>
          <w:sz w:val="18"/>
          <w:szCs w:val="18"/>
        </w:rPr>
        <w:t xml:space="preserve">Uzasadnienie: </w:t>
      </w:r>
      <w:r w:rsidR="00366079">
        <w:rPr>
          <w:rFonts w:ascii="Tahoma" w:hAnsi="Tahoma" w:cs="Tahoma"/>
          <w:sz w:val="18"/>
          <w:szCs w:val="18"/>
        </w:rPr>
        <w:t xml:space="preserve">Powodem braku podziału na części jest fakt, że przedmiotem zamówienia jest odbiór odpadów o ustalonym rodzaju, dla których wymagany jest aktualny wpis do rejestru działalności regulowanej w zakresie odbioru odpadów komunalnych wydany przez Burmistrza Miasta Zgorzelec oraz wpis do rejestrów: zgodnie z art. 49 ustawy o odpadach oraz do rejestru BDO </w:t>
      </w:r>
      <w:r w:rsidR="00366079" w:rsidRPr="00787E76">
        <w:rPr>
          <w:rFonts w:ascii="Tahoma" w:hAnsi="Tahoma" w:cs="Tahoma"/>
          <w:sz w:val="18"/>
          <w:szCs w:val="18"/>
        </w:rPr>
        <w:t>w zakresie podmiotu transportującego odpady</w:t>
      </w:r>
      <w:r w:rsidR="00366079">
        <w:rPr>
          <w:rFonts w:ascii="Tahoma" w:hAnsi="Tahoma" w:cs="Tahoma"/>
          <w:sz w:val="18"/>
          <w:szCs w:val="18"/>
        </w:rPr>
        <w:t>. Podmioty przystępujące do przetargu muszą go posiadać. Brak podziału zamówienia nie narusza zasady zachowania uczciwej konkurencji poprzez ograniczenie możliwości ubiegania się o zamówienie mniejszym podmiotom, ponieważ jedynym warunkiem jest posiadanie tych wpisów. Podział zamówienia na części byłby niekorzystny ekonomicznie gdyż możliwe jest obniżenie kosztów stałych w kosztach jednostkowych, dzięki temu oferta może być korzystniejsza cenowo - tzw. Efekt skali.</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0"/>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xml:space="preserve">. Wykonawca zawiadamia Zamawiającego o wszelkich zmianach danych, o których mowa powyżej, w trakcie realizacji zamówienia, a także przekazuje </w:t>
      </w:r>
      <w:r w:rsidRPr="00E3381D">
        <w:rPr>
          <w:rFonts w:ascii="Tahoma" w:hAnsi="Tahoma" w:cs="Tahoma"/>
          <w:spacing w:val="6"/>
          <w:sz w:val="18"/>
          <w:szCs w:val="18"/>
        </w:rPr>
        <w:lastRenderedPageBreak/>
        <w:t>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63283ED" w14:textId="751298BA" w:rsidR="00585057" w:rsidRPr="00366079" w:rsidRDefault="00753269" w:rsidP="00366079">
      <w:pPr>
        <w:pStyle w:val="Standard"/>
        <w:widowControl w:val="0"/>
        <w:jc w:val="both"/>
        <w:rPr>
          <w:rFonts w:ascii="Tahoma" w:hAnsi="Tahoma"/>
          <w:b/>
          <w:color w:val="0070C0"/>
          <w:kern w:val="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1" w:name="_Hlk5872621"/>
      <w:r w:rsidR="00366079" w:rsidRPr="00366079">
        <w:rPr>
          <w:rFonts w:ascii="Tahoma" w:hAnsi="Tahoma"/>
          <w:b/>
          <w:color w:val="0070C0"/>
          <w:kern w:val="0"/>
          <w:sz w:val="18"/>
          <w:szCs w:val="18"/>
        </w:rPr>
        <w:t xml:space="preserve">Kompleksowa usługa odbioru i przekazania do zagospodarowania niesegregowanych (zmieszanych) odpadów komunalnych, zmieszanych odpadów opakowaniowych oraz odbierania i przekazywania do instalacji odzysku lub unieszkodliwienia selektywnie zebranych odpadów komunalnych WS-SPZOZ wraz z </w:t>
      </w:r>
      <w:r w:rsidR="007829A4">
        <w:rPr>
          <w:rFonts w:ascii="Tahoma" w:hAnsi="Tahoma"/>
          <w:b/>
          <w:color w:val="0070C0"/>
          <w:kern w:val="0"/>
          <w:sz w:val="18"/>
          <w:szCs w:val="18"/>
        </w:rPr>
        <w:t>najmem</w:t>
      </w:r>
      <w:r w:rsidR="00366079" w:rsidRPr="00366079">
        <w:rPr>
          <w:rFonts w:ascii="Tahoma" w:hAnsi="Tahoma"/>
          <w:b/>
          <w:color w:val="0070C0"/>
          <w:kern w:val="0"/>
          <w:sz w:val="18"/>
          <w:szCs w:val="18"/>
        </w:rPr>
        <w:t xml:space="preserve"> prasokontenera, pojemników o poj. 1100 l oraz poj. 120 l.</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6B5B6392" w:rsidR="00753269" w:rsidRPr="00CD7833" w:rsidRDefault="00366079" w:rsidP="00CD7833">
      <w:pPr>
        <w:ind w:left="426" w:hanging="426"/>
        <w:jc w:val="both"/>
        <w:rPr>
          <w:rFonts w:ascii="Tahoma" w:hAnsi="Tahoma" w:cs="Tahoma"/>
          <w:bCs/>
          <w:sz w:val="18"/>
          <w:szCs w:val="18"/>
        </w:rPr>
      </w:pPr>
      <w:r>
        <w:rPr>
          <w:rFonts w:ascii="Tahoma" w:hAnsi="Tahoma" w:cs="Tahoma"/>
          <w:sz w:val="18"/>
          <w:szCs w:val="18"/>
        </w:rPr>
        <w:t xml:space="preserve">3.2.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w:t>
      </w:r>
      <w:r w:rsidR="00774302">
        <w:rPr>
          <w:rFonts w:ascii="Tahoma" w:hAnsi="Tahoma" w:cs="Tahoma"/>
          <w:bCs/>
          <w:sz w:val="18"/>
          <w:szCs w:val="18"/>
        </w:rPr>
        <w:t>ją</w:t>
      </w:r>
      <w:r w:rsidR="00CD7833" w:rsidRPr="00CD7833">
        <w:rPr>
          <w:rFonts w:ascii="Tahoma" w:hAnsi="Tahoma" w:cs="Tahoma"/>
          <w:bCs/>
          <w:sz w:val="18"/>
          <w:szCs w:val="18"/>
        </w:rPr>
        <w:t xml:space="preserve"> załącznik</w:t>
      </w:r>
      <w:r w:rsidR="00774302">
        <w:rPr>
          <w:rFonts w:ascii="Tahoma" w:hAnsi="Tahoma" w:cs="Tahoma"/>
          <w:bCs/>
          <w:sz w:val="18"/>
          <w:szCs w:val="18"/>
        </w:rPr>
        <w:t>i</w:t>
      </w:r>
      <w:r w:rsidR="00CD7833"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w:t>
      </w:r>
      <w:r>
        <w:rPr>
          <w:rFonts w:ascii="Tahoma" w:hAnsi="Tahoma" w:cs="Tahoma"/>
          <w:bCs/>
          <w:sz w:val="18"/>
          <w:szCs w:val="18"/>
        </w:rPr>
        <w:t>3</w:t>
      </w:r>
      <w:r w:rsidR="00D7383B">
        <w:rPr>
          <w:rFonts w:ascii="Tahoma" w:hAnsi="Tahoma" w:cs="Tahoma"/>
          <w:bCs/>
          <w:sz w:val="18"/>
          <w:szCs w:val="18"/>
        </w:rPr>
        <w:t xml:space="preserve">, </w:t>
      </w:r>
      <w:r>
        <w:rPr>
          <w:rFonts w:ascii="Tahoma" w:hAnsi="Tahoma" w:cs="Tahoma"/>
          <w:bCs/>
          <w:sz w:val="18"/>
          <w:szCs w:val="18"/>
        </w:rPr>
        <w:t>6</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0021AFC7" w14:textId="400EA197"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w:t>
      </w:r>
      <w:r w:rsidR="00366079">
        <w:rPr>
          <w:rFonts w:ascii="Tahoma" w:hAnsi="Tahoma"/>
          <w:b/>
          <w:color w:val="0070C0"/>
          <w:sz w:val="18"/>
          <w:szCs w:val="18"/>
        </w:rPr>
        <w:t>3</w:t>
      </w:r>
      <w:r w:rsidRPr="00D7383B">
        <w:rPr>
          <w:rFonts w:ascii="Tahoma" w:hAnsi="Tahoma"/>
          <w:b/>
          <w:color w:val="0070C0"/>
          <w:sz w:val="18"/>
          <w:szCs w:val="18"/>
        </w:rPr>
        <w:t>.</w:t>
      </w:r>
      <w:r>
        <w:rPr>
          <w:rFonts w:ascii="Tahoma" w:hAnsi="Tahoma"/>
          <w:b/>
          <w:bCs/>
          <w:sz w:val="18"/>
        </w:rPr>
        <w:t xml:space="preserve"> </w:t>
      </w:r>
      <w:r w:rsidRPr="00111BD8">
        <w:rPr>
          <w:rFonts w:ascii="Tahoma" w:hAnsi="Tahoma"/>
          <w:b/>
          <w:bCs/>
          <w:color w:val="0070C0"/>
          <w:sz w:val="18"/>
        </w:rPr>
        <w:t>Kody CPV:</w:t>
      </w:r>
    </w:p>
    <w:p w14:paraId="6C7D53E7" w14:textId="63D78773" w:rsidR="00516523" w:rsidRDefault="00366079" w:rsidP="00366079">
      <w:pPr>
        <w:tabs>
          <w:tab w:val="num" w:pos="284"/>
        </w:tabs>
        <w:spacing w:line="276" w:lineRule="auto"/>
        <w:ind w:left="284" w:hanging="284"/>
        <w:jc w:val="both"/>
        <w:rPr>
          <w:rFonts w:ascii="Tahoma" w:hAnsi="Tahoma" w:cs="Tahoma"/>
          <w:bCs/>
          <w:sz w:val="18"/>
          <w:szCs w:val="18"/>
        </w:rPr>
      </w:pPr>
      <w:r>
        <w:rPr>
          <w:rFonts w:ascii="Tahoma" w:hAnsi="Tahoma"/>
          <w:b/>
          <w:bCs/>
          <w:color w:val="0070C0"/>
          <w:sz w:val="18"/>
        </w:rPr>
        <w:t>90.00.00.00-7</w:t>
      </w:r>
      <w:r>
        <w:rPr>
          <w:bCs/>
          <w:iCs/>
          <w:sz w:val="22"/>
          <w:lang w:eastAsia="zh-CN"/>
        </w:rPr>
        <w:t xml:space="preserve"> - </w:t>
      </w:r>
      <w:r>
        <w:rPr>
          <w:rFonts w:ascii="Tahoma" w:hAnsi="Tahoma" w:cs="Tahoma"/>
          <w:bCs/>
          <w:sz w:val="18"/>
          <w:szCs w:val="18"/>
        </w:rPr>
        <w:t>Usługi odbioru ścieków, usuwania odpadów, czyszczenia/sprzątania i usługi ekologiczne.</w:t>
      </w:r>
    </w:p>
    <w:p w14:paraId="15B54B11" w14:textId="77777777" w:rsidR="00366079" w:rsidRDefault="00366079" w:rsidP="00366079">
      <w:pPr>
        <w:spacing w:line="276" w:lineRule="auto"/>
        <w:ind w:left="284" w:hanging="284"/>
        <w:jc w:val="both"/>
        <w:rPr>
          <w:rFonts w:ascii="Tahoma" w:hAnsi="Tahoma" w:cs="Tahoma"/>
          <w:bCs/>
          <w:sz w:val="18"/>
          <w:szCs w:val="18"/>
        </w:rPr>
      </w:pPr>
      <w:r>
        <w:rPr>
          <w:rFonts w:ascii="Tahoma" w:hAnsi="Tahoma" w:cs="Tahoma"/>
          <w:bCs/>
          <w:sz w:val="18"/>
          <w:szCs w:val="18"/>
        </w:rPr>
        <w:t xml:space="preserve">3.4. Zamawiający wymaga, aby do wykonania wskazanych poniżej czynności, związanych z realizacją przedmiotu umowy, Wykonawca zatrudnił pracowników na podstawie umowy o pracę w rozumieniu przepisów Ustawy z dnia 26 czerwca 1974 r. Kodeks pracy (t.j. Dz. U. z 2023 r. poz. 1465) tj: </w:t>
      </w:r>
    </w:p>
    <w:p w14:paraId="670D8F22" w14:textId="77777777" w:rsidR="00366079" w:rsidRDefault="00366079" w:rsidP="00366079">
      <w:pPr>
        <w:numPr>
          <w:ilvl w:val="1"/>
          <w:numId w:val="34"/>
        </w:numPr>
        <w:spacing w:line="276" w:lineRule="auto"/>
      </w:pPr>
      <w:r>
        <w:rPr>
          <w:rFonts w:ascii="Tahoma" w:hAnsi="Tahoma" w:cs="Tahoma"/>
          <w:bCs/>
          <w:sz w:val="18"/>
          <w:szCs w:val="18"/>
        </w:rPr>
        <w:tab/>
      </w:r>
      <w:r>
        <w:rPr>
          <w:rFonts w:ascii="Tahoma" w:hAnsi="Tahoma"/>
          <w:bCs/>
          <w:sz w:val="18"/>
          <w:szCs w:val="18"/>
        </w:rPr>
        <w:t>kierowanie pojazdami przewidzianymi do realizacji zamówienia</w:t>
      </w:r>
    </w:p>
    <w:p w14:paraId="0E3901E4" w14:textId="77777777" w:rsidR="00366079" w:rsidRDefault="00366079" w:rsidP="00366079">
      <w:pPr>
        <w:numPr>
          <w:ilvl w:val="1"/>
          <w:numId w:val="34"/>
        </w:numPr>
        <w:spacing w:line="276" w:lineRule="auto"/>
      </w:pPr>
      <w:r>
        <w:rPr>
          <w:rFonts w:ascii="Tahoma" w:hAnsi="Tahoma"/>
          <w:bCs/>
          <w:sz w:val="18"/>
          <w:szCs w:val="18"/>
        </w:rPr>
        <w:t xml:space="preserve">     załadunek zebranych odpadów</w:t>
      </w:r>
    </w:p>
    <w:p w14:paraId="3C0A48F1" w14:textId="77777777" w:rsidR="00366079" w:rsidRDefault="00366079" w:rsidP="00366079">
      <w:pPr>
        <w:jc w:val="both"/>
        <w:rPr>
          <w:rFonts w:ascii="Tahoma" w:hAnsi="Tahoma" w:cs="Tahoma"/>
          <w:bCs/>
          <w:sz w:val="18"/>
          <w:szCs w:val="18"/>
        </w:rPr>
      </w:pPr>
      <w:r>
        <w:rPr>
          <w:rFonts w:ascii="Tahoma" w:hAnsi="Tahoma" w:cs="Tahoma"/>
          <w:bCs/>
          <w:sz w:val="18"/>
          <w:szCs w:val="18"/>
        </w:rPr>
        <w:t>Zobowiązanie to dotyczy Podwykonawców i dalszych Podwykonawców Wykonawcy.</w:t>
      </w:r>
    </w:p>
    <w:p w14:paraId="719D1978" w14:textId="77777777" w:rsidR="00366079" w:rsidRPr="00BC696C" w:rsidRDefault="00366079" w:rsidP="00366079">
      <w:pPr>
        <w:jc w:val="both"/>
        <w:rPr>
          <w:rFonts w:ascii="Tahoma" w:hAnsi="Tahoma" w:cs="Tahoma"/>
          <w:bCs/>
          <w:sz w:val="10"/>
          <w:szCs w:val="10"/>
        </w:rPr>
      </w:pPr>
    </w:p>
    <w:p w14:paraId="5586CD1C" w14:textId="7627A76A" w:rsidR="00366079" w:rsidRPr="00366079" w:rsidRDefault="00366079" w:rsidP="00366079">
      <w:pPr>
        <w:widowControl w:val="0"/>
        <w:tabs>
          <w:tab w:val="left" w:pos="426"/>
        </w:tabs>
        <w:suppressAutoHyphens/>
        <w:ind w:left="426" w:hanging="426"/>
        <w:rPr>
          <w:rFonts w:ascii="Tahoma" w:hAnsi="Tahoma" w:cs="Tahoma"/>
          <w:b/>
          <w:bCs/>
          <w:sz w:val="18"/>
          <w:szCs w:val="18"/>
          <w:lang w:eastAsia="zh-CN"/>
        </w:rPr>
      </w:pPr>
      <w:r>
        <w:rPr>
          <w:rFonts w:ascii="Tahoma" w:hAnsi="Tahoma" w:cs="Tahoma"/>
          <w:sz w:val="18"/>
          <w:szCs w:val="18"/>
        </w:rPr>
        <w:t>3.5. Wymagania w zakresie z art. 95 ust. 1 i 2 ustawy PZP opisano we wzorze umowy</w:t>
      </w:r>
      <w:r>
        <w:rPr>
          <w:rFonts w:ascii="Tahoma" w:hAnsi="Tahoma" w:cs="Tahoma"/>
          <w:b/>
          <w:bCs/>
          <w:sz w:val="18"/>
          <w:szCs w:val="18"/>
          <w:lang w:eastAsia="zh-CN"/>
        </w:rPr>
        <w:t>.</w:t>
      </w:r>
    </w:p>
    <w:p w14:paraId="2ACBD6C7" w14:textId="77777777" w:rsidR="00366079" w:rsidRDefault="00366079" w:rsidP="00366079">
      <w:pPr>
        <w:tabs>
          <w:tab w:val="num" w:pos="284"/>
        </w:tabs>
        <w:spacing w:line="276" w:lineRule="auto"/>
        <w:ind w:left="284" w:hanging="284"/>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7E83593B"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366079">
        <w:rPr>
          <w:rFonts w:ascii="Tahoma" w:hAnsi="Tahoma" w:cs="Tahoma"/>
          <w:b/>
          <w:bCs/>
          <w:sz w:val="18"/>
          <w:szCs w:val="18"/>
        </w:rPr>
        <w:t>12</w:t>
      </w:r>
      <w:r w:rsidR="00977E74">
        <w:rPr>
          <w:rFonts w:ascii="Tahoma" w:hAnsi="Tahoma" w:cs="Tahoma"/>
          <w:b/>
          <w:bCs/>
          <w:sz w:val="18"/>
          <w:szCs w:val="18"/>
        </w:rPr>
        <w:t xml:space="preserve"> miesięcy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C859AC0" w14:textId="77777777" w:rsidR="00366079" w:rsidRDefault="00366079" w:rsidP="00366079">
      <w:pPr>
        <w:pStyle w:val="Standard"/>
        <w:numPr>
          <w:ilvl w:val="1"/>
          <w:numId w:val="35"/>
        </w:numPr>
        <w:spacing w:line="276" w:lineRule="auto"/>
        <w:ind w:left="426" w:hanging="426"/>
        <w:jc w:val="both"/>
        <w:textAlignment w:val="auto"/>
        <w:rPr>
          <w:rFonts w:ascii="Tahoma" w:hAnsi="Tahoma" w:cs="Tahoma"/>
          <w:sz w:val="18"/>
          <w:szCs w:val="18"/>
        </w:rPr>
      </w:pPr>
      <w:r>
        <w:rPr>
          <w:rFonts w:ascii="Tahoma" w:hAnsi="Tahoma" w:cs="Tahoma"/>
          <w:sz w:val="18"/>
          <w:szCs w:val="18"/>
        </w:rPr>
        <w:t>Faktury będą wystawiane 1 raz w miesiącu. Podstawą do wystawienia faktury będzie karty przekazania odpadów wystawiona w bazie BDO z potwierdzonym transportem.</w:t>
      </w:r>
    </w:p>
    <w:p w14:paraId="1FF303CD" w14:textId="24AFC1C1" w:rsidR="00366079" w:rsidRPr="00366079" w:rsidRDefault="00366079" w:rsidP="00366079">
      <w:pPr>
        <w:pStyle w:val="Standard"/>
        <w:numPr>
          <w:ilvl w:val="1"/>
          <w:numId w:val="35"/>
        </w:numPr>
        <w:spacing w:line="276" w:lineRule="auto"/>
        <w:ind w:left="426" w:hanging="426"/>
        <w:jc w:val="both"/>
        <w:textAlignment w:val="auto"/>
        <w:rPr>
          <w:rFonts w:ascii="Tahoma" w:hAnsi="Tahoma" w:cs="Tahoma"/>
          <w:sz w:val="18"/>
          <w:szCs w:val="18"/>
        </w:rPr>
      </w:pPr>
      <w:r w:rsidRPr="00BC696C">
        <w:rPr>
          <w:rFonts w:ascii="Tahoma" w:hAnsi="Tahoma"/>
          <w:sz w:val="18"/>
        </w:rPr>
        <w:t xml:space="preserve">W przypadku wymogu odsyłania faktur lub innych dokumentów Wykonawca ponosi koszty przesyłek (tj. załącza kopertę ze znaczkiem zwrotnym). W przypadku braku koperty ze znaczkiem kopie faktur </w:t>
      </w:r>
      <w:r w:rsidRPr="00BC696C">
        <w:rPr>
          <w:rFonts w:ascii="Tahoma" w:hAnsi="Tahoma"/>
          <w:b/>
          <w:sz w:val="18"/>
        </w:rPr>
        <w:t>NIE BĘDĄ</w:t>
      </w:r>
      <w:r w:rsidRPr="00BC696C">
        <w:rPr>
          <w:rFonts w:ascii="Tahoma" w:hAnsi="Tahoma"/>
          <w:sz w:val="18"/>
        </w:rPr>
        <w:t xml:space="preserve"> odsyłane. Wyjątek stanowią wyłącznie </w:t>
      </w:r>
      <w:r w:rsidRPr="00BC696C">
        <w:rPr>
          <w:rFonts w:ascii="Tahoma" w:hAnsi="Tahoma"/>
          <w:b/>
          <w:sz w:val="18"/>
        </w:rPr>
        <w:t>FAKTURY KORYGUJĄCE -</w:t>
      </w:r>
      <w:r w:rsidRPr="00BC696C">
        <w:rPr>
          <w:rFonts w:ascii="Tahoma" w:hAnsi="Tahoma"/>
          <w:sz w:val="18"/>
        </w:rPr>
        <w:t xml:space="preserve"> odsyłane zawsze na koszt Zamawiającego</w:t>
      </w:r>
      <w:r>
        <w:rPr>
          <w:rFonts w:ascii="Tahoma" w:hAnsi="Tahoma"/>
          <w:sz w:val="18"/>
        </w:rPr>
        <w:t>.</w:t>
      </w:r>
    </w:p>
    <w:p w14:paraId="094FA03A" w14:textId="332A852C"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366079">
        <w:rPr>
          <w:rFonts w:ascii="Tahoma" w:hAnsi="Tahoma"/>
          <w:bCs/>
          <w:color w:val="0070C0"/>
          <w:sz w:val="18"/>
        </w:rPr>
        <w:t>6</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6954A9AC" w:rsidR="00FF33F7"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Zamawiający nie wymaga przedmiotowych środków dowod</w:t>
      </w:r>
      <w:r w:rsidR="00840BFF">
        <w:rPr>
          <w:rFonts w:ascii="Tahoma" w:hAnsi="Tahoma" w:cs="Tahoma"/>
          <w:b/>
          <w:bCs/>
          <w:color w:val="0070C0"/>
          <w:sz w:val="18"/>
          <w:szCs w:val="18"/>
        </w:rPr>
        <w:t>o</w:t>
      </w:r>
      <w:r w:rsidR="00D7383B">
        <w:rPr>
          <w:rFonts w:ascii="Tahoma" w:hAnsi="Tahoma" w:cs="Tahoma"/>
          <w:b/>
          <w:bCs/>
          <w:color w:val="0070C0"/>
          <w:sz w:val="18"/>
          <w:szCs w:val="18"/>
        </w:rPr>
        <w:t>wych.</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lastRenderedPageBreak/>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7983E82A" w14:textId="102EFA4D" w:rsidR="00366079" w:rsidRPr="00366079" w:rsidRDefault="00366079" w:rsidP="00366079">
      <w:pPr>
        <w:numPr>
          <w:ilvl w:val="0"/>
          <w:numId w:val="36"/>
        </w:numPr>
        <w:spacing w:after="240"/>
        <w:ind w:hanging="850"/>
        <w:jc w:val="both"/>
        <w:rPr>
          <w:rFonts w:ascii="Tahoma" w:hAnsi="Tahoma"/>
          <w:b/>
          <w:sz w:val="18"/>
          <w:szCs w:val="18"/>
        </w:rPr>
      </w:pPr>
      <w:r>
        <w:rPr>
          <w:rFonts w:ascii="Tahoma" w:hAnsi="Tahoma"/>
          <w:sz w:val="18"/>
        </w:rPr>
        <w:t xml:space="preserve">Zamawiający uzna ten warunek za spełniony, jeżeli Wykonawca wykaże się posiadaniem </w:t>
      </w:r>
    </w:p>
    <w:p w14:paraId="279DD31A" w14:textId="133AD55B" w:rsidR="00366079" w:rsidRPr="00863C00" w:rsidRDefault="00366079" w:rsidP="00863C00">
      <w:pPr>
        <w:pStyle w:val="Akapitzlist"/>
        <w:numPr>
          <w:ilvl w:val="0"/>
          <w:numId w:val="40"/>
        </w:numPr>
        <w:spacing w:after="240"/>
        <w:ind w:left="1418" w:hanging="567"/>
        <w:jc w:val="both"/>
        <w:rPr>
          <w:rFonts w:ascii="Tahoma" w:eastAsia="Courier New" w:hAnsi="Tahoma" w:cs="Tahoma"/>
          <w:b/>
          <w:bCs/>
          <w:color w:val="000000"/>
          <w:sz w:val="18"/>
          <w:szCs w:val="18"/>
        </w:rPr>
      </w:pPr>
      <w:r w:rsidRPr="00C31529">
        <w:rPr>
          <w:rFonts w:ascii="Tahoma" w:hAnsi="Tahoma" w:cs="Tahoma"/>
          <w:b/>
          <w:sz w:val="18"/>
          <w:szCs w:val="18"/>
        </w:rPr>
        <w:t>aktualn</w:t>
      </w:r>
      <w:r>
        <w:rPr>
          <w:rFonts w:ascii="Tahoma" w:hAnsi="Tahoma" w:cs="Tahoma"/>
          <w:b/>
          <w:sz w:val="18"/>
          <w:szCs w:val="18"/>
        </w:rPr>
        <w:t>ego</w:t>
      </w:r>
      <w:r w:rsidRPr="00C31529">
        <w:rPr>
          <w:rFonts w:ascii="Tahoma" w:hAnsi="Tahoma" w:cs="Tahoma"/>
          <w:b/>
          <w:sz w:val="18"/>
          <w:szCs w:val="18"/>
        </w:rPr>
        <w:t xml:space="preserve"> wpis</w:t>
      </w:r>
      <w:r>
        <w:rPr>
          <w:rFonts w:ascii="Tahoma" w:hAnsi="Tahoma" w:cs="Tahoma"/>
          <w:b/>
          <w:sz w:val="18"/>
          <w:szCs w:val="18"/>
        </w:rPr>
        <w:t>u</w:t>
      </w:r>
      <w:r w:rsidRPr="00C31529">
        <w:rPr>
          <w:rFonts w:ascii="Tahoma" w:hAnsi="Tahoma" w:cs="Tahoma"/>
          <w:b/>
          <w:sz w:val="18"/>
          <w:szCs w:val="18"/>
        </w:rPr>
        <w:t xml:space="preserve"> do Rejestru działalności regulowanej w zakresie odbioru odpadów komunalnych wydany przez Burmistrza Miasta Zgorzelec zgodnie ustawą z dnia 13 września 1996r. o utrzymaniu czystości i porządku w gminach </w:t>
      </w:r>
      <w:r w:rsidR="00863C00" w:rsidRPr="002C7292">
        <w:rPr>
          <w:rFonts w:ascii="Tahoma" w:eastAsia="Courier New" w:hAnsi="Tahoma" w:cs="Tahoma"/>
          <w:b/>
          <w:bCs/>
          <w:color w:val="000000"/>
          <w:sz w:val="18"/>
          <w:szCs w:val="18"/>
        </w:rPr>
        <w:t>Dz.U. 2024 poz. 399 t.j. ze zm.</w:t>
      </w:r>
    </w:p>
    <w:p w14:paraId="278B1240" w14:textId="77777777" w:rsidR="00366079" w:rsidRDefault="00366079" w:rsidP="00366079">
      <w:pPr>
        <w:pStyle w:val="Akapitzlist"/>
        <w:numPr>
          <w:ilvl w:val="0"/>
          <w:numId w:val="37"/>
        </w:numPr>
        <w:spacing w:after="240"/>
        <w:ind w:left="1418" w:hanging="567"/>
        <w:jc w:val="both"/>
        <w:rPr>
          <w:rFonts w:ascii="Tahoma" w:hAnsi="Tahoma" w:cs="Tahoma"/>
          <w:b/>
          <w:sz w:val="18"/>
          <w:szCs w:val="18"/>
        </w:rPr>
      </w:pPr>
      <w:r w:rsidRPr="00366079">
        <w:rPr>
          <w:rFonts w:ascii="Tahoma" w:hAnsi="Tahoma" w:cs="Tahoma"/>
          <w:b/>
          <w:sz w:val="18"/>
          <w:szCs w:val="18"/>
        </w:rPr>
        <w:t>wpis do rejestru, o którym mowa w art. 49 ustawy o odpadach z dnia 14 grudnia 2012 r. (Dz. U. 2023 r. poz. 1587 tj. ze zm.)</w:t>
      </w:r>
    </w:p>
    <w:p w14:paraId="6D2B3FC4" w14:textId="028E48CA" w:rsidR="00366079" w:rsidRPr="00366079" w:rsidRDefault="00366079" w:rsidP="00366079">
      <w:pPr>
        <w:pStyle w:val="Akapitzlist"/>
        <w:numPr>
          <w:ilvl w:val="0"/>
          <w:numId w:val="37"/>
        </w:numPr>
        <w:spacing w:after="240"/>
        <w:ind w:left="1418" w:hanging="567"/>
        <w:jc w:val="both"/>
        <w:rPr>
          <w:rFonts w:ascii="Tahoma" w:hAnsi="Tahoma" w:cs="Tahoma"/>
          <w:b/>
          <w:sz w:val="18"/>
          <w:szCs w:val="18"/>
        </w:rPr>
      </w:pPr>
      <w:r w:rsidRPr="00366079">
        <w:rPr>
          <w:rFonts w:ascii="Tahoma" w:hAnsi="Tahoma" w:cs="Tahoma"/>
          <w:b/>
          <w:sz w:val="18"/>
          <w:szCs w:val="18"/>
        </w:rPr>
        <w:t>wpis do rejestru BDO stanowiącego integralną część bazy danych o produktach i opakowaniach oraz gospodarce odpadami, o której mowa w ustawie z dnia 14 grudnia 2012r. o odpadach (Dz. U. 2023 r. poz. 1587 tj. ze zm.) w zakresie podmiotu transportującego odpady.</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220B36A8" w14:textId="0F7159EE" w:rsidR="0027079C" w:rsidRPr="0027079C" w:rsidRDefault="0027079C" w:rsidP="0027079C">
      <w:pPr>
        <w:numPr>
          <w:ilvl w:val="1"/>
          <w:numId w:val="13"/>
        </w:numPr>
        <w:spacing w:before="120"/>
        <w:ind w:left="426" w:hanging="426"/>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oraz spełnia warunki udziału w postępowaniu na podstawie złożonego przez Wykonawcę oświadczenia w zakresie wskazanym w </w:t>
      </w:r>
      <w:r>
        <w:rPr>
          <w:rFonts w:ascii="Tahoma" w:hAnsi="Tahoma"/>
          <w:b/>
          <w:color w:val="0070C0"/>
          <w:sz w:val="18"/>
          <w:szCs w:val="18"/>
        </w:rPr>
        <w:t>załączniku nr 4 i 5 do SWZ</w:t>
      </w:r>
    </w:p>
    <w:p w14:paraId="55A2482E" w14:textId="01B20B93"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27079C">
        <w:rPr>
          <w:rFonts w:ascii="Tahoma" w:hAnsi="Tahoma"/>
          <w:b/>
          <w:bCs/>
          <w:color w:val="0070C0"/>
          <w:sz w:val="18"/>
          <w:szCs w:val="18"/>
        </w:rPr>
        <w:t xml:space="preserve">załącznika nr </w:t>
      </w:r>
      <w:r w:rsidR="0027079C" w:rsidRPr="0027079C">
        <w:rPr>
          <w:rFonts w:ascii="Tahoma" w:hAnsi="Tahoma"/>
          <w:b/>
          <w:bCs/>
          <w:color w:val="0070C0"/>
          <w:sz w:val="18"/>
          <w:szCs w:val="18"/>
        </w:rPr>
        <w:t>4</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6695A685" w14:textId="4616AC3D" w:rsidR="00B405E5" w:rsidRPr="00B405E5" w:rsidRDefault="00B0619A" w:rsidP="00ED6DDC">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27079C">
        <w:rPr>
          <w:rFonts w:ascii="Tahoma" w:hAnsi="Tahoma" w:cs="Tahoma"/>
          <w:b/>
          <w:color w:val="0070C0"/>
          <w:sz w:val="18"/>
          <w:szCs w:val="18"/>
        </w:rPr>
        <w:t>4 i 5</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Oświadczenia te wstępnie potwierdzają brak podstaw wykluczenia</w:t>
      </w:r>
      <w:r w:rsidR="00B405E5">
        <w:rPr>
          <w:rFonts w:ascii="Tahoma" w:hAnsi="Tahoma" w:cs="Tahoma"/>
          <w:bCs/>
          <w:sz w:val="18"/>
          <w:szCs w:val="18"/>
        </w:rPr>
        <w:t xml:space="preserve"> oraz spełnianie warunków udziału w postępowaniu w zakresie, w jakim każdy z wykonawców wykazuje spełnienie warunków udziału w postępowaniu.  </w:t>
      </w:r>
    </w:p>
    <w:p w14:paraId="4DB7FBD4" w14:textId="27036DCC" w:rsidR="00B0619A" w:rsidRPr="00B405E5" w:rsidRDefault="00B405E5" w:rsidP="00B405E5">
      <w:pPr>
        <w:numPr>
          <w:ilvl w:val="1"/>
          <w:numId w:val="13"/>
        </w:numPr>
        <w:spacing w:before="120"/>
        <w:ind w:left="426" w:hanging="426"/>
        <w:jc w:val="both"/>
        <w:rPr>
          <w:rFonts w:ascii="Tahoma" w:hAnsi="Tahoma" w:cs="Tahoma"/>
          <w:bCs/>
          <w:sz w:val="18"/>
          <w:szCs w:val="18"/>
        </w:rPr>
      </w:pPr>
      <w:r>
        <w:rPr>
          <w:rFonts w:ascii="Tahoma" w:hAnsi="Tahoma" w:cs="Tahoma"/>
          <w:bCs/>
          <w:sz w:val="18"/>
          <w:szCs w:val="18"/>
        </w:rPr>
        <w:t xml:space="preserve">Wykonawca, w przypadku polegania </w:t>
      </w:r>
      <w:r>
        <w:rPr>
          <w:rFonts w:ascii="Tahoma" w:hAnsi="Tahoma" w:cs="Tahoma"/>
          <w:b/>
          <w:sz w:val="18"/>
          <w:szCs w:val="18"/>
        </w:rPr>
        <w:t>na zdolnościach lub sytuacji podmiotów udostępniających zasoby</w:t>
      </w:r>
      <w:r>
        <w:rPr>
          <w:rFonts w:ascii="Tahoma" w:hAnsi="Tahoma" w:cs="Tahoma"/>
          <w:bCs/>
          <w:sz w:val="18"/>
          <w:szCs w:val="18"/>
        </w:rPr>
        <w:t xml:space="preserve">, przedstawia, wraz z oświadczeniami wg wzoru stanowiącego </w:t>
      </w:r>
      <w:r w:rsidRPr="007F566C">
        <w:rPr>
          <w:rFonts w:ascii="Tahoma" w:hAnsi="Tahoma" w:cs="Tahoma"/>
          <w:b/>
          <w:color w:val="0070C0"/>
          <w:sz w:val="18"/>
          <w:szCs w:val="18"/>
        </w:rPr>
        <w:t>załączniki nr 4 i 5</w:t>
      </w:r>
      <w:r>
        <w:rPr>
          <w:rFonts w:ascii="Tahoma" w:hAnsi="Tahoma" w:cs="Tahoma"/>
          <w:bCs/>
          <w:sz w:val="18"/>
          <w:szCs w:val="18"/>
        </w:rPr>
        <w:t xml:space="preserve"> do SWZ, także oświadczenie wg wzoru stanowiącego </w:t>
      </w:r>
      <w:r w:rsidRPr="007F566C">
        <w:rPr>
          <w:rFonts w:ascii="Tahoma" w:hAnsi="Tahoma" w:cs="Tahoma"/>
          <w:b/>
          <w:color w:val="0070C0"/>
          <w:sz w:val="18"/>
          <w:szCs w:val="18"/>
        </w:rPr>
        <w:t>załączniki nr 4 i 5</w:t>
      </w:r>
      <w:r>
        <w:rPr>
          <w:rFonts w:ascii="Tahoma" w:hAnsi="Tahoma" w:cs="Tahoma"/>
          <w:bCs/>
          <w:sz w:val="18"/>
          <w:szCs w:val="18"/>
        </w:rPr>
        <w:t xml:space="preserve"> do SWZ podmiotu udostępniającego zasoby, wstępnie potwierdzające brak podstaw wykluczenia tego podmiotu oraz odpowiednio spełnianie warunków udziału w postępowaniu, w zakresie w jakim wykonawca powołuje się na jego zasoby.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0EB1D34B" w14:textId="58937537" w:rsidR="0027079C" w:rsidRPr="0027079C" w:rsidRDefault="0027079C" w:rsidP="0027079C">
      <w:pPr>
        <w:numPr>
          <w:ilvl w:val="0"/>
          <w:numId w:val="16"/>
        </w:numPr>
        <w:spacing w:after="240"/>
        <w:ind w:left="993"/>
        <w:jc w:val="both"/>
        <w:rPr>
          <w:rFonts w:ascii="Tahoma" w:hAnsi="Tahoma"/>
          <w:b/>
          <w:sz w:val="18"/>
          <w:szCs w:val="18"/>
        </w:rPr>
      </w:pPr>
      <w:r>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 xml:space="preserve">oświadczenie wykonawcy o spełnieniu warunków udziału w postępowaniu – </w:t>
      </w:r>
      <w:r>
        <w:rPr>
          <w:rFonts w:ascii="Tahoma" w:hAnsi="Tahoma"/>
          <w:b/>
          <w:sz w:val="18"/>
          <w:szCs w:val="18"/>
        </w:rPr>
        <w:t xml:space="preserve">wg wzoru na </w:t>
      </w:r>
      <w:r>
        <w:rPr>
          <w:rFonts w:ascii="Tahoma" w:hAnsi="Tahoma"/>
          <w:b/>
          <w:color w:val="0070C0"/>
          <w:sz w:val="18"/>
          <w:szCs w:val="18"/>
        </w:rPr>
        <w:t>załączniku nr 5 do SWZ – DO OFERTY</w:t>
      </w:r>
    </w:p>
    <w:p w14:paraId="78976F69" w14:textId="4AB14BB2"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CAC26CC" w14:textId="77777777" w:rsidR="0027079C" w:rsidRPr="00BF2A87" w:rsidRDefault="0027079C" w:rsidP="0027079C">
      <w:pPr>
        <w:numPr>
          <w:ilvl w:val="0"/>
          <w:numId w:val="16"/>
        </w:numPr>
        <w:spacing w:after="240"/>
        <w:ind w:left="992" w:hanging="357"/>
        <w:jc w:val="both"/>
        <w:rPr>
          <w:rFonts w:ascii="Tahoma" w:hAnsi="Tahoma"/>
          <w:b/>
          <w:sz w:val="18"/>
          <w:szCs w:val="18"/>
        </w:rPr>
      </w:pPr>
      <w:r w:rsidRPr="00AA4B77">
        <w:rPr>
          <w:rFonts w:ascii="Tahoma" w:hAnsi="Tahoma"/>
          <w:sz w:val="18"/>
        </w:rPr>
        <w:t>Zamawiający uzna ten warunek za spełniony, jeżeli Wykonawca wykaże się posiadaniem</w:t>
      </w:r>
      <w:r>
        <w:rPr>
          <w:rFonts w:ascii="Tahoma" w:hAnsi="Tahoma"/>
          <w:sz w:val="18"/>
        </w:rPr>
        <w:t>:</w:t>
      </w:r>
    </w:p>
    <w:p w14:paraId="40EE8701" w14:textId="77777777" w:rsidR="002C7292" w:rsidRDefault="0027079C" w:rsidP="002C7292">
      <w:pPr>
        <w:pStyle w:val="Akapitzlist"/>
        <w:numPr>
          <w:ilvl w:val="0"/>
          <w:numId w:val="40"/>
        </w:numPr>
        <w:spacing w:after="240"/>
        <w:ind w:left="1418" w:hanging="567"/>
        <w:jc w:val="both"/>
        <w:rPr>
          <w:rFonts w:ascii="Tahoma" w:eastAsia="Courier New" w:hAnsi="Tahoma" w:cs="Tahoma"/>
          <w:b/>
          <w:bCs/>
          <w:color w:val="000000"/>
          <w:sz w:val="18"/>
          <w:szCs w:val="18"/>
        </w:rPr>
      </w:pPr>
      <w:r w:rsidRPr="00C31529">
        <w:rPr>
          <w:rFonts w:ascii="Tahoma" w:hAnsi="Tahoma" w:cs="Tahoma"/>
          <w:b/>
          <w:sz w:val="18"/>
          <w:szCs w:val="18"/>
        </w:rPr>
        <w:lastRenderedPageBreak/>
        <w:t>aktualn</w:t>
      </w:r>
      <w:r>
        <w:rPr>
          <w:rFonts w:ascii="Tahoma" w:hAnsi="Tahoma" w:cs="Tahoma"/>
          <w:b/>
          <w:sz w:val="18"/>
          <w:szCs w:val="18"/>
        </w:rPr>
        <w:t>ego</w:t>
      </w:r>
      <w:r w:rsidRPr="00C31529">
        <w:rPr>
          <w:rFonts w:ascii="Tahoma" w:hAnsi="Tahoma" w:cs="Tahoma"/>
          <w:b/>
          <w:sz w:val="18"/>
          <w:szCs w:val="18"/>
        </w:rPr>
        <w:t xml:space="preserve"> wpis</w:t>
      </w:r>
      <w:r>
        <w:rPr>
          <w:rFonts w:ascii="Tahoma" w:hAnsi="Tahoma" w:cs="Tahoma"/>
          <w:b/>
          <w:sz w:val="18"/>
          <w:szCs w:val="18"/>
        </w:rPr>
        <w:t>u</w:t>
      </w:r>
      <w:r w:rsidRPr="00C31529">
        <w:rPr>
          <w:rFonts w:ascii="Tahoma" w:hAnsi="Tahoma" w:cs="Tahoma"/>
          <w:b/>
          <w:sz w:val="18"/>
          <w:szCs w:val="18"/>
        </w:rPr>
        <w:t xml:space="preserve"> do Rejestru działalności regulowanej w zakresie odbioru odpadów komunalnych wydany przez Burmistrza Miasta Zgorzelec zgodnie ustawą z dnia 13 września 1996r. o utrzymaniu czystości i porządku w gminach </w:t>
      </w:r>
      <w:r w:rsidR="002C7292" w:rsidRPr="002C7292">
        <w:rPr>
          <w:rFonts w:ascii="Tahoma" w:eastAsia="Courier New" w:hAnsi="Tahoma" w:cs="Tahoma"/>
          <w:b/>
          <w:bCs/>
          <w:color w:val="000000"/>
          <w:sz w:val="18"/>
          <w:szCs w:val="18"/>
        </w:rPr>
        <w:t>Dz.U. 2024 poz. 399 t.j. ze zm.</w:t>
      </w:r>
    </w:p>
    <w:p w14:paraId="63A061FC" w14:textId="77777777" w:rsidR="00722D0A" w:rsidRDefault="0027079C" w:rsidP="00722D0A">
      <w:pPr>
        <w:pStyle w:val="Akapitzlist"/>
        <w:numPr>
          <w:ilvl w:val="0"/>
          <w:numId w:val="40"/>
        </w:numPr>
        <w:spacing w:after="240"/>
        <w:ind w:left="1418" w:hanging="567"/>
        <w:jc w:val="both"/>
        <w:rPr>
          <w:rFonts w:ascii="Tahoma" w:eastAsia="Courier New" w:hAnsi="Tahoma" w:cs="Tahoma"/>
          <w:b/>
          <w:bCs/>
          <w:color w:val="000000"/>
          <w:sz w:val="18"/>
          <w:szCs w:val="18"/>
        </w:rPr>
      </w:pPr>
      <w:r w:rsidRPr="002C7292">
        <w:rPr>
          <w:rFonts w:ascii="Tahoma" w:hAnsi="Tahoma" w:cs="Tahoma"/>
          <w:b/>
          <w:sz w:val="18"/>
          <w:szCs w:val="18"/>
        </w:rPr>
        <w:t>wpis do rejestru, o którym mowa w art. 49 ustawy o odpadach z dnia 14 grudnia 2012 r. (Dz. U. 2023 r. poz. 1587 tj. ze zm.)</w:t>
      </w:r>
    </w:p>
    <w:p w14:paraId="21F873AB" w14:textId="548A95C4" w:rsidR="0027079C" w:rsidRPr="00722D0A" w:rsidRDefault="0027079C" w:rsidP="00722D0A">
      <w:pPr>
        <w:pStyle w:val="Akapitzlist"/>
        <w:numPr>
          <w:ilvl w:val="0"/>
          <w:numId w:val="40"/>
        </w:numPr>
        <w:spacing w:after="240"/>
        <w:ind w:left="1418" w:hanging="567"/>
        <w:jc w:val="both"/>
        <w:rPr>
          <w:rFonts w:ascii="Tahoma" w:eastAsia="Courier New" w:hAnsi="Tahoma" w:cs="Tahoma"/>
          <w:b/>
          <w:bCs/>
          <w:color w:val="000000"/>
          <w:sz w:val="18"/>
          <w:szCs w:val="18"/>
        </w:rPr>
      </w:pPr>
      <w:r w:rsidRPr="00722D0A">
        <w:rPr>
          <w:rFonts w:ascii="Tahoma" w:hAnsi="Tahoma" w:cs="Tahoma"/>
          <w:b/>
          <w:sz w:val="18"/>
          <w:szCs w:val="18"/>
        </w:rPr>
        <w:t>wpis do rejestru BDO stanowiącego integralną część bazy danych o produktach i opakowaniach oraz gospodarce odpadami, o której mowa w ustawie z dnia 14 grudnia 2012r. o odpadach (Dz. U. 2023 r. poz. 1587 tj. ze zm.) w zakresie podmiotu transportującego odpady.</w:t>
      </w:r>
    </w:p>
    <w:p w14:paraId="4710CB4C" w14:textId="67A5F2B7" w:rsidR="0027079C" w:rsidRPr="0027079C" w:rsidRDefault="0027079C" w:rsidP="0027079C">
      <w:pPr>
        <w:spacing w:after="240"/>
        <w:ind w:left="993"/>
        <w:jc w:val="both"/>
        <w:rPr>
          <w:rFonts w:ascii="Tahoma" w:hAnsi="Tahoma"/>
          <w:b/>
          <w:sz w:val="18"/>
          <w:szCs w:val="18"/>
        </w:rPr>
      </w:pPr>
      <w:r>
        <w:rPr>
          <w:rFonts w:ascii="Tahoma" w:hAnsi="Tahoma"/>
          <w:b/>
          <w:color w:val="0070C0"/>
          <w:sz w:val="18"/>
          <w:szCs w:val="18"/>
        </w:rPr>
        <w:t>Oświadczenie o powyższym należy złożyć w załączniku nr 5 do SWZ, który wstępnie potwierdzi spełnienie warunku udziału w niniejszym postępowaniu przetargowym</w:t>
      </w:r>
    </w:p>
    <w:p w14:paraId="7009E105" w14:textId="41647CB4"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6BDEC8BA"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27079C">
        <w:rPr>
          <w:rFonts w:ascii="Tahoma" w:hAnsi="Tahoma"/>
          <w:b/>
          <w:color w:val="0070C0"/>
          <w:sz w:val="18"/>
          <w:szCs w:val="18"/>
        </w:rPr>
        <w:t>4</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ADBDBF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47CF8D18" w14:textId="77777777" w:rsidR="00722D0A" w:rsidRDefault="00722D0A" w:rsidP="00722D0A">
      <w:pPr>
        <w:numPr>
          <w:ilvl w:val="1"/>
          <w:numId w:val="15"/>
        </w:numPr>
        <w:tabs>
          <w:tab w:val="left" w:pos="426"/>
        </w:tabs>
        <w:spacing w:before="120"/>
        <w:ind w:left="426" w:hanging="426"/>
        <w:jc w:val="both"/>
        <w:rPr>
          <w:rFonts w:ascii="Tahoma" w:hAnsi="Tahoma" w:cs="Tahoma"/>
          <w:sz w:val="18"/>
          <w:szCs w:val="18"/>
        </w:rPr>
      </w:pPr>
      <w:r>
        <w:rPr>
          <w:rFonts w:ascii="Tahoma" w:hAnsi="Tahoma" w:cs="Tahoma"/>
          <w:sz w:val="18"/>
          <w:szCs w:val="18"/>
        </w:rPr>
        <w:t>Zamawiający nie wezwie do złożenia podmiotowych środków dowodowych, jeżeli:</w:t>
      </w:r>
    </w:p>
    <w:p w14:paraId="0064BE85" w14:textId="77777777" w:rsidR="00722D0A" w:rsidRDefault="00722D0A" w:rsidP="00722D0A">
      <w:pPr>
        <w:numPr>
          <w:ilvl w:val="0"/>
          <w:numId w:val="44"/>
        </w:numPr>
        <w:spacing w:before="120"/>
        <w:jc w:val="both"/>
        <w:rPr>
          <w:rFonts w:ascii="Tahoma" w:hAnsi="Tahoma" w:cs="Tahoma"/>
          <w:sz w:val="18"/>
          <w:szCs w:val="18"/>
        </w:rPr>
      </w:pPr>
      <w:r>
        <w:rPr>
          <w:rFonts w:ascii="Tahoma" w:hAnsi="Tahoma" w:cs="Tahoma"/>
          <w:sz w:val="18"/>
          <w:szCs w:val="18"/>
        </w:rPr>
        <w:t xml:space="preserve"> może je uzyskać za pomocą bezpłatnych i ogólnodostępnych baz danych, w szczególności rejestrów publicznych w rozumieniu ustawy z dnia 17 lutego 2005 o informatyzacji działalności podmiotów realizujących zadania publiczne, </w:t>
      </w:r>
      <w:r>
        <w:rPr>
          <w:rFonts w:ascii="Tahoma" w:hAnsi="Tahoma" w:cs="Tahoma"/>
          <w:b/>
          <w:bCs/>
          <w:sz w:val="18"/>
          <w:szCs w:val="18"/>
        </w:rPr>
        <w:t>o ile wykonawca wskazał w jednolitym dokumencie JEDZ dane umożliwiające dostęp do tych środków;</w:t>
      </w:r>
    </w:p>
    <w:p w14:paraId="33ED9DE7" w14:textId="77777777" w:rsidR="00722D0A" w:rsidRDefault="00722D0A" w:rsidP="00722D0A">
      <w:pPr>
        <w:numPr>
          <w:ilvl w:val="0"/>
          <w:numId w:val="44"/>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3DCF797E" w14:textId="77777777" w:rsidR="00722D0A" w:rsidRDefault="00722D0A" w:rsidP="00722D0A">
      <w:pPr>
        <w:spacing w:before="120"/>
        <w:ind w:left="426"/>
        <w:jc w:val="both"/>
        <w:rPr>
          <w:rFonts w:ascii="Tahoma" w:hAnsi="Tahoma" w:cs="Tahoma"/>
          <w:sz w:val="18"/>
          <w:szCs w:val="18"/>
        </w:rPr>
      </w:pPr>
      <w:r>
        <w:rPr>
          <w:rFonts w:ascii="Tahoma" w:hAnsi="Tahoma" w:cs="Tahoma"/>
          <w:sz w:val="18"/>
          <w:szCs w:val="18"/>
        </w:rPr>
        <w:t xml:space="preserve">W przypadku wskazania przez wykonawcę dostępności podmiotowych środków dowodowych lub dokumentów, o których mowa w pkt. 8.7 SWZ,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5B749F14" w14:textId="77777777" w:rsidR="00722D0A" w:rsidRDefault="00722D0A" w:rsidP="00722D0A">
      <w:pPr>
        <w:numPr>
          <w:ilvl w:val="1"/>
          <w:numId w:val="15"/>
        </w:numPr>
        <w:spacing w:before="120"/>
        <w:ind w:left="426" w:hanging="426"/>
        <w:jc w:val="both"/>
        <w:rPr>
          <w:rFonts w:ascii="Tahoma" w:hAnsi="Tahoma" w:cs="Tahoma"/>
          <w:sz w:val="18"/>
          <w:szCs w:val="18"/>
        </w:rPr>
      </w:pPr>
      <w:r>
        <w:rPr>
          <w:rFonts w:ascii="Tahoma" w:hAnsi="Tahoma"/>
          <w:bCs/>
          <w:sz w:val="18"/>
          <w:szCs w:val="18"/>
        </w:rPr>
        <w:lastRenderedPageBreak/>
        <w:t xml:space="preserve">Wykonawca nie jest zobowiązany do złożenia podmiotowych środków dowodowych, które zamawiający posiada, jeżeli </w:t>
      </w:r>
      <w:r>
        <w:rPr>
          <w:rFonts w:ascii="Tahoma" w:hAnsi="Tahoma"/>
          <w:b/>
          <w:sz w:val="18"/>
          <w:szCs w:val="18"/>
        </w:rPr>
        <w:t>wykonawca wskaże te środki oraz potwierdzi ich prawidłowość i aktualność.</w:t>
      </w:r>
    </w:p>
    <w:p w14:paraId="2407A6F9" w14:textId="77777777" w:rsidR="00722D0A" w:rsidRDefault="00722D0A" w:rsidP="00722D0A">
      <w:pPr>
        <w:numPr>
          <w:ilvl w:val="1"/>
          <w:numId w:val="15"/>
        </w:numPr>
        <w:spacing w:before="120"/>
        <w:ind w:left="426" w:hanging="426"/>
        <w:jc w:val="both"/>
        <w:rPr>
          <w:rFonts w:ascii="Tahoma" w:hAnsi="Tahoma" w:cs="Tahoma"/>
          <w:color w:val="FF0000"/>
          <w:sz w:val="18"/>
          <w:szCs w:val="18"/>
        </w:rPr>
      </w:pPr>
      <w:r>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 przypadku, gdy wykonawca, ma siedzibę lub miejsce zamieszkania poza terytorium Rzeczypospolitej Polskiej, przepisy pkt. 8.3 SWZ stosuje się odpowiednio, w zakresie dotyczącym płatności podatków, opłat lub składek na ubezpieczenie społeczne lub zdrowotne. Powyższe zapisy, stosuje się odpowiednio do podmiotowych środków dowodowych dotyczących podmiotu udostępniającego zasoby na zasadach określonych w art. 118 ustawy PZP</w:t>
      </w:r>
    </w:p>
    <w:p w14:paraId="549D56BA" w14:textId="54F4A804"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Wykonawca, w przypadku polegania na zdolnościach lub sytuacji podmiotów udostępniających zasoby, przedstawia, wraz z oświadczeniem z art. 125 ust. 1 ustawy (</w:t>
      </w:r>
      <w:r>
        <w:rPr>
          <w:rFonts w:ascii="Tahoma" w:hAnsi="Tahoma"/>
          <w:b/>
          <w:color w:val="0070C0"/>
          <w:sz w:val="18"/>
          <w:szCs w:val="18"/>
        </w:rPr>
        <w:t>załącznik nr 4 i 5 do SWZ</w:t>
      </w:r>
      <w:r>
        <w:rPr>
          <w:rFonts w:ascii="Tahoma" w:hAnsi="Tahoma" w:cs="Tahoma"/>
          <w:sz w:val="18"/>
          <w:szCs w:val="18"/>
        </w:rPr>
        <w:t>), także oświadczenie (</w:t>
      </w:r>
      <w:r>
        <w:rPr>
          <w:rFonts w:ascii="Tahoma" w:hAnsi="Tahoma"/>
          <w:b/>
          <w:color w:val="0070C0"/>
          <w:sz w:val="18"/>
          <w:szCs w:val="18"/>
        </w:rPr>
        <w:t>załącznik nr 4 i 5 do SWZ</w:t>
      </w:r>
      <w:r>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33150738" w14:textId="77777777"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Jeżeli Wykonawca złoży ofertę wspólną lub Wykonawca powołuje się na zasoby innych podmiotów w celu wykazania spełnienia 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48C2CD87" w14:textId="77777777" w:rsidR="00722D0A" w:rsidRDefault="00722D0A" w:rsidP="00722D0A">
      <w:pPr>
        <w:numPr>
          <w:ilvl w:val="1"/>
          <w:numId w:val="15"/>
        </w:numPr>
        <w:spacing w:before="120"/>
        <w:ind w:left="567" w:hanging="567"/>
        <w:jc w:val="both"/>
        <w:rPr>
          <w:rFonts w:ascii="Tahoma" w:hAnsi="Tahoma" w:cs="Tahoma"/>
          <w:sz w:val="18"/>
          <w:szCs w:val="18"/>
        </w:rPr>
      </w:pPr>
      <w:r>
        <w:rPr>
          <w:rFonts w:ascii="Tahoma" w:hAnsi="Tahoma" w:cs="Tahoma"/>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38427CF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9.1. </w:t>
      </w:r>
      <w:r>
        <w:rPr>
          <w:rFonts w:ascii="Tahoma" w:hAnsi="Tahoma" w:cs="Tahoma"/>
          <w:sz w:val="18"/>
          <w:szCs w:val="18"/>
        </w:rPr>
        <w:tab/>
        <w:t>Wykonawcy mogą wspólnie ubiegać się o udzielenie zamówienia.</w:t>
      </w:r>
    </w:p>
    <w:p w14:paraId="69BFD562"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9.2. </w:t>
      </w:r>
      <w:r>
        <w:rPr>
          <w:rFonts w:ascii="Tahoma" w:hAnsi="Tahoma" w:cs="Tahoma"/>
          <w:sz w:val="18"/>
          <w:szCs w:val="18"/>
        </w:rPr>
        <w:tab/>
        <w:t xml:space="preserve">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7F69F467"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9.3. </w:t>
      </w:r>
      <w:r>
        <w:rPr>
          <w:rFonts w:ascii="Tahoma" w:hAnsi="Tahoma" w:cs="Tahoma"/>
          <w:sz w:val="18"/>
          <w:szCs w:val="18"/>
        </w:rPr>
        <w:tab/>
        <w:t xml:space="preserve">Przepisy dotyczące Wykonawcy stosuje się odpowiednio do Wykonawców, o których mowa w  pkt. 9.1. </w:t>
      </w:r>
    </w:p>
    <w:p w14:paraId="1ED21186"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9.4. </w:t>
      </w:r>
      <w:r>
        <w:rPr>
          <w:rFonts w:ascii="Tahoma" w:hAnsi="Tahoma" w:cs="Tahoma"/>
          <w:sz w:val="18"/>
          <w:szCs w:val="18"/>
        </w:rPr>
        <w:tab/>
        <w:t xml:space="preserve">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7BF7102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9.5. </w:t>
      </w:r>
      <w:r>
        <w:rPr>
          <w:rFonts w:ascii="Tahoma" w:hAnsi="Tahoma" w:cs="Tahoma"/>
          <w:sz w:val="18"/>
          <w:szCs w:val="18"/>
        </w:rPr>
        <w:tab/>
        <w:t>Oferta wspólna musi zostać przygotowana i złożona w następujący sposób:</w:t>
      </w:r>
    </w:p>
    <w:p w14:paraId="5032A2A5" w14:textId="45AC8A3F" w:rsidR="001C339D" w:rsidRDefault="001C339D" w:rsidP="001C339D">
      <w:pPr>
        <w:ind w:left="675"/>
        <w:jc w:val="both"/>
        <w:rPr>
          <w:rFonts w:ascii="Tahoma" w:hAnsi="Tahoma" w:cs="Tahoma"/>
          <w:sz w:val="18"/>
          <w:szCs w:val="18"/>
        </w:rPr>
      </w:pPr>
      <w:r>
        <w:rPr>
          <w:rFonts w:ascii="Tahoma" w:hAnsi="Tahoma" w:cs="Tahoma"/>
          <w:sz w:val="18"/>
          <w:szCs w:val="18"/>
        </w:rPr>
        <w:t xml:space="preserve">9.5.1. </w:t>
      </w:r>
      <w:r>
        <w:rPr>
          <w:rFonts w:ascii="Tahoma" w:hAnsi="Tahoma" w:cs="Tahoma"/>
          <w:sz w:val="18"/>
          <w:szCs w:val="18"/>
        </w:rPr>
        <w:tab/>
        <w:t xml:space="preserve">partnerzy ustanawiają i wskazują pełnomocnika (lidera) do reprezentowania ich w </w:t>
      </w:r>
      <w:r>
        <w:rPr>
          <w:rFonts w:ascii="Tahoma" w:hAnsi="Tahoma" w:cs="Tahoma"/>
          <w:sz w:val="18"/>
          <w:szCs w:val="18"/>
        </w:rPr>
        <w:t xml:space="preserve">  </w:t>
      </w:r>
      <w:r>
        <w:rPr>
          <w:rFonts w:ascii="Tahoma" w:hAnsi="Tahoma" w:cs="Tahoma"/>
          <w:sz w:val="18"/>
          <w:szCs w:val="18"/>
        </w:rPr>
        <w:t>postępowaniu o udzielenie niniejszego zamówienia albo reprezentowania w postępowaniu o udzielenie niniejszego zamówienia i zawarcia umowy w sprawie zamówienia publicznego. Zaleca się, aby pełnomocnikiem (liderem) był jeden z partnerów.</w:t>
      </w:r>
    </w:p>
    <w:p w14:paraId="41967A12" w14:textId="77777777" w:rsidR="001C339D" w:rsidRDefault="001C339D" w:rsidP="001C339D">
      <w:pPr>
        <w:ind w:firstLine="675"/>
        <w:jc w:val="both"/>
        <w:rPr>
          <w:rFonts w:ascii="Tahoma" w:hAnsi="Tahoma" w:cs="Tahoma"/>
          <w:sz w:val="18"/>
          <w:szCs w:val="18"/>
        </w:rPr>
      </w:pPr>
      <w:r>
        <w:rPr>
          <w:rFonts w:ascii="Tahoma" w:hAnsi="Tahoma" w:cs="Tahoma"/>
          <w:sz w:val="18"/>
          <w:szCs w:val="18"/>
        </w:rPr>
        <w:t xml:space="preserve">9.5.2. </w:t>
      </w:r>
      <w:r>
        <w:rPr>
          <w:rFonts w:ascii="Tahoma" w:hAnsi="Tahoma" w:cs="Tahoma"/>
          <w:sz w:val="18"/>
          <w:szCs w:val="18"/>
        </w:rPr>
        <w:tab/>
        <w:t>oferta musi być podpisana w taki sposób, by prawnie zobowiązywała wszystkich partnerów,</w:t>
      </w:r>
    </w:p>
    <w:p w14:paraId="44D5CE1E" w14:textId="77777777" w:rsidR="001C339D" w:rsidRDefault="001C339D" w:rsidP="001C339D">
      <w:pPr>
        <w:ind w:left="675"/>
        <w:jc w:val="both"/>
        <w:rPr>
          <w:rFonts w:ascii="Tahoma" w:hAnsi="Tahoma" w:cs="Tahoma"/>
          <w:sz w:val="18"/>
          <w:szCs w:val="18"/>
        </w:rPr>
      </w:pPr>
      <w:r>
        <w:rPr>
          <w:rFonts w:ascii="Tahoma" w:hAnsi="Tahoma" w:cs="Tahoma"/>
          <w:sz w:val="18"/>
          <w:szCs w:val="18"/>
        </w:rPr>
        <w:t xml:space="preserve">9.5.3. </w:t>
      </w:r>
      <w:r>
        <w:rPr>
          <w:rFonts w:ascii="Tahoma" w:hAnsi="Tahoma" w:cs="Tahoma"/>
          <w:sz w:val="18"/>
          <w:szCs w:val="18"/>
        </w:rPr>
        <w:tab/>
        <w:t xml:space="preserve">każdy z partnerów musi złożyć oświadczenie, </w:t>
      </w:r>
      <w:r>
        <w:rPr>
          <w:rFonts w:ascii="Tahoma" w:hAnsi="Tahoma"/>
          <w:sz w:val="18"/>
          <w:szCs w:val="18"/>
        </w:rPr>
        <w:t xml:space="preserve">wg wzoru na </w:t>
      </w:r>
      <w:r>
        <w:rPr>
          <w:rFonts w:ascii="Tahoma" w:hAnsi="Tahoma"/>
          <w:b/>
          <w:color w:val="0070C0"/>
          <w:sz w:val="18"/>
          <w:szCs w:val="18"/>
        </w:rPr>
        <w:t>załączniku nr 4 oraz nr 5 do SWZ</w:t>
      </w:r>
      <w:r>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p>
    <w:p w14:paraId="59513CF9" w14:textId="77777777" w:rsidR="001C339D" w:rsidRDefault="001C339D" w:rsidP="001C339D">
      <w:pPr>
        <w:ind w:left="675"/>
        <w:jc w:val="both"/>
        <w:rPr>
          <w:rFonts w:ascii="Tahoma" w:hAnsi="Tahoma" w:cs="Tahoma"/>
          <w:sz w:val="18"/>
          <w:szCs w:val="18"/>
        </w:rPr>
      </w:pPr>
      <w:r>
        <w:rPr>
          <w:rFonts w:ascii="Tahoma" w:hAnsi="Tahoma" w:cs="Tahoma"/>
          <w:sz w:val="18"/>
          <w:szCs w:val="18"/>
        </w:rPr>
        <w:t xml:space="preserve">9.5.4. </w:t>
      </w:r>
      <w:r>
        <w:rPr>
          <w:rFonts w:ascii="Tahoma" w:hAnsi="Tahoma" w:cs="Tahoma"/>
          <w:sz w:val="18"/>
          <w:szCs w:val="18"/>
        </w:rPr>
        <w:tab/>
        <w:t>partnerzy konsorcjum muszą udokumentować, że razem spełniają warunki udziału w postępowaniu.</w:t>
      </w:r>
    </w:p>
    <w:p w14:paraId="1C9D01C3" w14:textId="77777777" w:rsidR="001C339D" w:rsidRDefault="001C339D" w:rsidP="001C339D">
      <w:pPr>
        <w:ind w:left="675"/>
        <w:jc w:val="both"/>
        <w:rPr>
          <w:rFonts w:ascii="Tahoma" w:hAnsi="Tahoma" w:cs="Tahoma"/>
          <w:b/>
          <w:bCs/>
          <w:sz w:val="18"/>
          <w:szCs w:val="18"/>
        </w:rPr>
      </w:pPr>
      <w:r>
        <w:rPr>
          <w:rFonts w:ascii="Tahoma" w:hAnsi="Tahoma" w:cs="Tahoma"/>
          <w:sz w:val="18"/>
          <w:szCs w:val="18"/>
        </w:rPr>
        <w:t>9.5.5.</w:t>
      </w:r>
      <w:r>
        <w:rPr>
          <w:rFonts w:ascii="Tahoma" w:hAnsi="Tahoma" w:cs="Tahoma"/>
          <w:b/>
          <w:bCs/>
          <w:sz w:val="18"/>
          <w:szCs w:val="18"/>
        </w:rPr>
        <w:t xml:space="preserve">  </w:t>
      </w:r>
      <w:r>
        <w:rPr>
          <w:rFonts w:ascii="Tahoma" w:hAnsi="Tahoma" w:cs="Tahoma"/>
          <w:b/>
          <w:bCs/>
          <w:sz w:val="18"/>
          <w:szCs w:val="18"/>
        </w:rPr>
        <w:tab/>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4E595F7E" w14:textId="77777777" w:rsidR="001C339D" w:rsidRDefault="001C339D" w:rsidP="001C339D">
      <w:pPr>
        <w:ind w:left="675"/>
        <w:jc w:val="both"/>
        <w:rPr>
          <w:rFonts w:ascii="Tahoma" w:hAnsi="Tahoma" w:cs="Tahoma"/>
          <w:sz w:val="18"/>
          <w:szCs w:val="18"/>
        </w:rPr>
      </w:pPr>
      <w:r>
        <w:rPr>
          <w:rFonts w:ascii="Tahoma" w:hAnsi="Tahoma" w:cs="Tahoma"/>
          <w:sz w:val="18"/>
          <w:szCs w:val="18"/>
        </w:rPr>
        <w:t xml:space="preserve">9.5.6. </w:t>
      </w:r>
      <w:r>
        <w:rPr>
          <w:rFonts w:ascii="Tahoma" w:hAnsi="Tahoma" w:cs="Tahoma"/>
          <w:sz w:val="18"/>
          <w:szCs w:val="18"/>
        </w:rPr>
        <w:tab/>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55B153D1" w14:textId="77777777" w:rsidR="001C339D" w:rsidRDefault="001C339D" w:rsidP="001C339D">
      <w:pPr>
        <w:ind w:firstLine="426"/>
        <w:jc w:val="both"/>
        <w:rPr>
          <w:rFonts w:ascii="Tahoma" w:hAnsi="Tahoma" w:cs="Tahoma"/>
          <w:sz w:val="18"/>
          <w:szCs w:val="18"/>
        </w:rPr>
      </w:pPr>
      <w:r>
        <w:rPr>
          <w:rFonts w:ascii="Tahoma" w:hAnsi="Tahoma" w:cs="Tahoma"/>
          <w:sz w:val="18"/>
          <w:szCs w:val="18"/>
        </w:rPr>
        <w:lastRenderedPageBreak/>
        <w:t>9.5.7.  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5068C35A"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27079C">
        <w:rPr>
          <w:rFonts w:ascii="Tahoma" w:hAnsi="Tahoma" w:cs="Tahoma"/>
          <w:b/>
          <w:color w:val="0070C0"/>
          <w:sz w:val="18"/>
          <w:szCs w:val="18"/>
        </w:rPr>
        <w:t>4</w:t>
      </w:r>
      <w:r w:rsidR="00CC3C6D">
        <w:rPr>
          <w:rFonts w:ascii="Tahoma" w:hAnsi="Tahoma" w:cs="Tahoma"/>
          <w:b/>
          <w:color w:val="0070C0"/>
          <w:sz w:val="18"/>
          <w:szCs w:val="18"/>
        </w:rPr>
        <w:t xml:space="preserve"> i 5</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68F20516"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27079C">
        <w:rPr>
          <w:rFonts w:ascii="Tahoma" w:hAnsi="Tahoma" w:cs="Tahoma"/>
          <w:b/>
          <w:color w:val="4472C4" w:themeColor="accent1"/>
          <w:sz w:val="18"/>
          <w:szCs w:val="18"/>
        </w:rPr>
        <w:t>8</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lastRenderedPageBreak/>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lastRenderedPageBreak/>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lastRenderedPageBreak/>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85AC1AC"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863C00">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lastRenderedPageBreak/>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lastRenderedPageBreak/>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38E8A615"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863C00">
        <w:rPr>
          <w:rFonts w:ascii="Tahoma" w:hAnsi="Tahoma" w:cs="Tahoma"/>
          <w:sz w:val="18"/>
          <w:szCs w:val="18"/>
        </w:rPr>
        <w:t>,</w:t>
      </w:r>
      <w:r w:rsidR="00A52A0A">
        <w:rPr>
          <w:rFonts w:ascii="Tahoma" w:hAnsi="Tahoma" w:cs="Tahoma"/>
          <w:sz w:val="18"/>
          <w:szCs w:val="18"/>
        </w:rPr>
        <w:t xml:space="preserve"> </w:t>
      </w:r>
      <w:r w:rsidR="00863C00">
        <w:rPr>
          <w:rFonts w:ascii="Tahoma" w:hAnsi="Tahoma" w:cs="Tahoma"/>
          <w:sz w:val="18"/>
          <w:szCs w:val="18"/>
        </w:rPr>
        <w:t>wskazanej w punkcie 1.1. SWZ</w:t>
      </w:r>
    </w:p>
    <w:p w14:paraId="2F19DF8E" w14:textId="44F531C4"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863C00">
        <w:rPr>
          <w:b/>
          <w:bCs/>
          <w:color w:val="0070C0"/>
        </w:rPr>
        <w:t xml:space="preserve"> </w:t>
      </w:r>
      <w:r w:rsidR="00863C00">
        <w:rPr>
          <w:rFonts w:ascii="Tahoma" w:hAnsi="Tahoma" w:cs="Tahoma"/>
          <w:sz w:val="18"/>
          <w:szCs w:val="18"/>
        </w:rPr>
        <w:t>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33C6FA8F"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863C00">
        <w:t xml:space="preserve"> </w:t>
      </w:r>
      <w:r w:rsidR="00863C00">
        <w:rPr>
          <w:rFonts w:ascii="Tahoma" w:hAnsi="Tahoma" w:cs="Tahoma"/>
          <w:sz w:val="18"/>
          <w:szCs w:val="18"/>
        </w:rPr>
        <w:t>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5BF3218B" w:rsidR="00B27969" w:rsidRPr="00A52A0A"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023C96">
        <w:rPr>
          <w:rFonts w:ascii="Tahoma" w:hAnsi="Tahoma" w:cs="Tahoma"/>
          <w:b/>
          <w:bCs/>
          <w:color w:val="0070C0"/>
          <w:sz w:val="18"/>
          <w:szCs w:val="18"/>
          <w:highlight w:val="yellow"/>
        </w:rPr>
        <w:t xml:space="preserve">tj. do dnia </w:t>
      </w:r>
      <w:r w:rsidR="006D0841" w:rsidRPr="00023C96">
        <w:rPr>
          <w:rFonts w:ascii="Tahoma" w:hAnsi="Tahoma" w:cs="Tahoma"/>
          <w:b/>
          <w:bCs/>
          <w:color w:val="0070C0"/>
          <w:sz w:val="18"/>
          <w:szCs w:val="18"/>
          <w:highlight w:val="yellow"/>
        </w:rPr>
        <w:t>1</w:t>
      </w:r>
      <w:r w:rsidR="00023C96" w:rsidRPr="00023C96">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0</w:t>
      </w:r>
      <w:r w:rsidR="00023C96" w:rsidRPr="00023C96">
        <w:rPr>
          <w:rFonts w:ascii="Tahoma" w:hAnsi="Tahoma" w:cs="Tahoma"/>
          <w:b/>
          <w:bCs/>
          <w:color w:val="0070C0"/>
          <w:sz w:val="18"/>
          <w:szCs w:val="18"/>
          <w:highlight w:val="yellow"/>
        </w:rPr>
        <w:t>3</w:t>
      </w:r>
      <w:r w:rsidR="00B900F9" w:rsidRPr="00023C96">
        <w:rPr>
          <w:rFonts w:ascii="Tahoma" w:hAnsi="Tahoma" w:cs="Tahoma"/>
          <w:b/>
          <w:bCs/>
          <w:color w:val="0070C0"/>
          <w:sz w:val="18"/>
          <w:szCs w:val="18"/>
          <w:highlight w:val="yellow"/>
        </w:rPr>
        <w:t>.202</w:t>
      </w:r>
      <w:r w:rsidR="006D0841" w:rsidRPr="00023C96">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r</w:t>
      </w:r>
      <w:r w:rsidR="00D739CA"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w:t>
      </w:r>
      <w:r w:rsidR="00B30674">
        <w:rPr>
          <w:rFonts w:ascii="Tahoma" w:hAnsi="Tahoma" w:cs="Tahoma"/>
          <w:sz w:val="18"/>
          <w:szCs w:val="18"/>
        </w:rPr>
        <w:lastRenderedPageBreak/>
        <w:t>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67B3EA17" w14:textId="1B3942E7" w:rsidR="00150533" w:rsidRDefault="00150533" w:rsidP="00ED6DDC">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 xml:space="preserve">wypełniony załącznik nr </w:t>
      </w:r>
      <w:r w:rsidR="0027079C">
        <w:rPr>
          <w:rFonts w:ascii="Tahoma" w:hAnsi="Tahoma" w:cs="Tahoma"/>
          <w:sz w:val="18"/>
          <w:szCs w:val="18"/>
        </w:rPr>
        <w:t>4</w:t>
      </w:r>
      <w:r w:rsidRPr="00150533">
        <w:rPr>
          <w:rFonts w:ascii="Tahoma" w:hAnsi="Tahoma" w:cs="Tahoma"/>
          <w:sz w:val="18"/>
          <w:szCs w:val="18"/>
        </w:rPr>
        <w:t xml:space="preserve"> do SWZ – Oświadczenie o braku podstaw do wykluczenia.</w:t>
      </w:r>
    </w:p>
    <w:p w14:paraId="19645D06" w14:textId="61380E14" w:rsidR="0027079C" w:rsidRPr="0027079C" w:rsidRDefault="007F566C" w:rsidP="0027079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27079C">
        <w:rPr>
          <w:rFonts w:ascii="Tahoma" w:hAnsi="Tahoma" w:cs="Tahoma"/>
          <w:sz w:val="18"/>
          <w:szCs w:val="18"/>
        </w:rPr>
        <w:t>ypełniony</w:t>
      </w:r>
      <w:r>
        <w:rPr>
          <w:rFonts w:ascii="Tahoma" w:hAnsi="Tahoma" w:cs="Tahoma"/>
          <w:sz w:val="18"/>
          <w:szCs w:val="18"/>
        </w:rPr>
        <w:t xml:space="preserve"> </w:t>
      </w:r>
      <w:r w:rsidR="0027079C" w:rsidRPr="007F566C">
        <w:rPr>
          <w:rFonts w:ascii="Tahoma" w:hAnsi="Tahoma" w:cs="Tahoma"/>
          <w:sz w:val="18"/>
          <w:szCs w:val="18"/>
        </w:rPr>
        <w:t>załącznik nr 5 do SWZ</w:t>
      </w:r>
      <w:r w:rsidR="0027079C">
        <w:rPr>
          <w:rFonts w:ascii="Tahoma" w:hAnsi="Tahoma" w:cs="Tahoma"/>
          <w:sz w:val="18"/>
          <w:szCs w:val="18"/>
        </w:rPr>
        <w:t xml:space="preserve"> - </w:t>
      </w:r>
      <w:r w:rsidR="0027079C" w:rsidRPr="00DE5707">
        <w:rPr>
          <w:rFonts w:ascii="Tahoma" w:hAnsi="Tahoma"/>
          <w:sz w:val="18"/>
          <w:szCs w:val="18"/>
        </w:rPr>
        <w:t>Oświadczenie wykonawcy dotyczące spełnienia warunków udziału w postępowaniu</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70B9309" w:rsidR="00DD5316" w:rsidRPr="00023C96" w:rsidRDefault="00DD5316" w:rsidP="00ED6DDC">
      <w:pPr>
        <w:numPr>
          <w:ilvl w:val="1"/>
          <w:numId w:val="23"/>
        </w:numPr>
        <w:spacing w:after="240"/>
        <w:ind w:left="567"/>
        <w:jc w:val="both"/>
        <w:rPr>
          <w:rFonts w:ascii="Tahoma" w:hAnsi="Tahoma" w:cs="Tahoma"/>
          <w:b/>
          <w:bCs/>
          <w:color w:val="0070C0"/>
          <w:sz w:val="18"/>
          <w:szCs w:val="18"/>
        </w:rPr>
      </w:pPr>
      <w:bookmarkStart w:id="19" w:name="_Hlk530049256"/>
      <w:r w:rsidRPr="00BE19E6">
        <w:rPr>
          <w:rFonts w:ascii="Tahoma" w:hAnsi="Tahoma" w:cs="Tahoma"/>
          <w:sz w:val="18"/>
          <w:szCs w:val="18"/>
        </w:rPr>
        <w:lastRenderedPageBreak/>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hyperlink r:id="rId22" w:history="1">
        <w:r w:rsidR="00023C96" w:rsidRPr="00A73056">
          <w:rPr>
            <w:rStyle w:val="Hipercze"/>
            <w:rFonts w:ascii="Open Sans" w:hAnsi="Open Sans" w:cs="Open Sans"/>
            <w:b/>
            <w:bCs/>
            <w:sz w:val="19"/>
            <w:szCs w:val="19"/>
            <w:highlight w:val="yellow"/>
            <w:shd w:val="clear" w:color="auto" w:fill="FFFFFF"/>
          </w:rPr>
          <w:t>https://platformazakupowa.pl/transakcja/1055444</w:t>
        </w:r>
      </w:hyperlink>
      <w:r w:rsidR="00023C96" w:rsidRPr="00023C96">
        <w:rPr>
          <w:rFonts w:ascii="Open Sans" w:hAnsi="Open Sans" w:cs="Open Sans"/>
          <w:b/>
          <w:bCs/>
          <w:color w:val="23527C"/>
          <w:sz w:val="19"/>
          <w:szCs w:val="19"/>
          <w:shd w:val="clear" w:color="auto" w:fill="FFFFFF"/>
        </w:rPr>
        <w:t xml:space="preserve">  </w:t>
      </w:r>
      <w:r w:rsidRPr="00023C96">
        <w:rPr>
          <w:rFonts w:ascii="Tahoma" w:hAnsi="Tahoma" w:cs="Tahoma"/>
          <w:b/>
          <w:bCs/>
          <w:color w:val="0070C0"/>
          <w:sz w:val="18"/>
          <w:szCs w:val="18"/>
        </w:rPr>
        <w:t xml:space="preserve">w terminie do dnia </w:t>
      </w:r>
      <w:r w:rsidR="00023C96" w:rsidRPr="00023C96">
        <w:rPr>
          <w:rFonts w:ascii="Tahoma" w:hAnsi="Tahoma" w:cs="Tahoma"/>
          <w:b/>
          <w:bCs/>
          <w:color w:val="0070C0"/>
          <w:sz w:val="18"/>
          <w:szCs w:val="18"/>
          <w:highlight w:val="yellow"/>
        </w:rPr>
        <w:t>14</w:t>
      </w:r>
      <w:r w:rsidR="00D055D7" w:rsidRPr="00023C96">
        <w:rPr>
          <w:rFonts w:ascii="Tahoma" w:hAnsi="Tahoma" w:cs="Tahoma"/>
          <w:b/>
          <w:bCs/>
          <w:color w:val="0070C0"/>
          <w:sz w:val="18"/>
          <w:szCs w:val="18"/>
          <w:highlight w:val="yellow"/>
        </w:rPr>
        <w:t>.</w:t>
      </w:r>
      <w:r w:rsidR="00A52A0A" w:rsidRPr="00023C96">
        <w:rPr>
          <w:rFonts w:ascii="Tahoma" w:hAnsi="Tahoma" w:cs="Tahoma"/>
          <w:b/>
          <w:bCs/>
          <w:color w:val="0070C0"/>
          <w:sz w:val="18"/>
          <w:szCs w:val="18"/>
          <w:highlight w:val="yellow"/>
        </w:rPr>
        <w:t>0</w:t>
      </w:r>
      <w:r w:rsidR="00023C96" w:rsidRPr="00023C96">
        <w:rPr>
          <w:rFonts w:ascii="Tahoma" w:hAnsi="Tahoma" w:cs="Tahoma"/>
          <w:b/>
          <w:bCs/>
          <w:color w:val="0070C0"/>
          <w:sz w:val="18"/>
          <w:szCs w:val="18"/>
          <w:highlight w:val="yellow"/>
        </w:rPr>
        <w:t>2</w:t>
      </w:r>
      <w:r w:rsidR="00B900F9" w:rsidRPr="00023C96">
        <w:rPr>
          <w:rFonts w:ascii="Tahoma" w:hAnsi="Tahoma" w:cs="Tahoma"/>
          <w:b/>
          <w:bCs/>
          <w:color w:val="0070C0"/>
          <w:sz w:val="18"/>
          <w:szCs w:val="18"/>
          <w:highlight w:val="yellow"/>
        </w:rPr>
        <w:t>.</w:t>
      </w:r>
      <w:r w:rsidR="00DD3E0A" w:rsidRPr="00023C96">
        <w:rPr>
          <w:rFonts w:ascii="Tahoma" w:hAnsi="Tahoma" w:cs="Tahoma"/>
          <w:b/>
          <w:bCs/>
          <w:color w:val="0070C0"/>
          <w:sz w:val="18"/>
          <w:szCs w:val="18"/>
          <w:highlight w:val="yellow"/>
        </w:rPr>
        <w:t>20</w:t>
      </w:r>
      <w:r w:rsidR="006B2AC4" w:rsidRPr="00023C96">
        <w:rPr>
          <w:rFonts w:ascii="Tahoma" w:hAnsi="Tahoma" w:cs="Tahoma"/>
          <w:b/>
          <w:bCs/>
          <w:color w:val="0070C0"/>
          <w:sz w:val="18"/>
          <w:szCs w:val="18"/>
          <w:highlight w:val="yellow"/>
        </w:rPr>
        <w:t>2</w:t>
      </w:r>
      <w:r w:rsidR="00A52A0A" w:rsidRPr="00023C96">
        <w:rPr>
          <w:rFonts w:ascii="Tahoma" w:hAnsi="Tahoma" w:cs="Tahoma"/>
          <w:b/>
          <w:bCs/>
          <w:color w:val="0070C0"/>
          <w:sz w:val="18"/>
          <w:szCs w:val="18"/>
          <w:highlight w:val="yellow"/>
        </w:rPr>
        <w:t>5</w:t>
      </w:r>
      <w:r w:rsidR="00DD3E0A" w:rsidRPr="00023C96">
        <w:rPr>
          <w:rFonts w:ascii="Tahoma" w:hAnsi="Tahoma" w:cs="Tahoma"/>
          <w:b/>
          <w:bCs/>
          <w:color w:val="0070C0"/>
          <w:sz w:val="18"/>
          <w:szCs w:val="18"/>
          <w:highlight w:val="yellow"/>
        </w:rPr>
        <w:t xml:space="preserve">r. </w:t>
      </w:r>
      <w:r w:rsidRPr="00023C96">
        <w:rPr>
          <w:rFonts w:ascii="Tahoma" w:hAnsi="Tahoma" w:cs="Tahoma"/>
          <w:b/>
          <w:bCs/>
          <w:color w:val="0070C0"/>
          <w:sz w:val="18"/>
          <w:szCs w:val="18"/>
          <w:highlight w:val="yellow"/>
        </w:rPr>
        <w:t xml:space="preserve">do godz. </w:t>
      </w:r>
      <w:r w:rsidR="00DD3E0A" w:rsidRPr="00023C96">
        <w:rPr>
          <w:rFonts w:ascii="Tahoma" w:hAnsi="Tahoma" w:cs="Tahoma"/>
          <w:b/>
          <w:bCs/>
          <w:color w:val="0070C0"/>
          <w:sz w:val="18"/>
          <w:szCs w:val="18"/>
          <w:highlight w:val="yellow"/>
        </w:rPr>
        <w:t>8</w:t>
      </w:r>
      <w:r w:rsidRPr="00023C96">
        <w:rPr>
          <w:rFonts w:ascii="Tahoma" w:hAnsi="Tahoma" w:cs="Tahoma"/>
          <w:b/>
          <w:bCs/>
          <w:color w:val="0070C0"/>
          <w:sz w:val="18"/>
          <w:szCs w:val="18"/>
          <w:highlight w:val="yellow"/>
        </w:rPr>
        <w:t>:00</w:t>
      </w:r>
      <w:bookmarkEnd w:id="19"/>
      <w:r w:rsidR="00ED3C9E" w:rsidRPr="00023C96">
        <w:rPr>
          <w:rFonts w:ascii="Tahoma" w:hAnsi="Tahoma" w:cs="Tahoma"/>
          <w:b/>
          <w:bCs/>
          <w:color w:val="0070C0"/>
          <w:sz w:val="18"/>
          <w:szCs w:val="18"/>
          <w:highlight w:val="yellow"/>
        </w:rPr>
        <w:t>.</w:t>
      </w:r>
    </w:p>
    <w:p w14:paraId="496FA974" w14:textId="02736628"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023C96" w:rsidRPr="00023C96">
        <w:rPr>
          <w:rFonts w:ascii="Tahoma" w:hAnsi="Tahoma" w:cs="Tahoma"/>
          <w:b/>
          <w:bCs/>
          <w:color w:val="0070C0"/>
          <w:sz w:val="18"/>
          <w:szCs w:val="18"/>
          <w:highlight w:val="yellow"/>
        </w:rPr>
        <w:t>14</w:t>
      </w:r>
      <w:r w:rsidR="00B900F9" w:rsidRPr="00023C96">
        <w:rPr>
          <w:rFonts w:ascii="Tahoma" w:hAnsi="Tahoma" w:cs="Tahoma"/>
          <w:b/>
          <w:bCs/>
          <w:color w:val="0070C0"/>
          <w:sz w:val="18"/>
          <w:szCs w:val="18"/>
          <w:highlight w:val="yellow"/>
        </w:rPr>
        <w:t>.</w:t>
      </w:r>
      <w:r w:rsidR="00A52A0A" w:rsidRPr="00023C96">
        <w:rPr>
          <w:rFonts w:ascii="Tahoma" w:hAnsi="Tahoma" w:cs="Tahoma"/>
          <w:b/>
          <w:bCs/>
          <w:color w:val="0070C0"/>
          <w:sz w:val="18"/>
          <w:szCs w:val="18"/>
          <w:highlight w:val="yellow"/>
        </w:rPr>
        <w:t>0</w:t>
      </w:r>
      <w:r w:rsidR="00023C96" w:rsidRPr="00023C96">
        <w:rPr>
          <w:rFonts w:ascii="Tahoma" w:hAnsi="Tahoma" w:cs="Tahoma"/>
          <w:b/>
          <w:bCs/>
          <w:color w:val="0070C0"/>
          <w:sz w:val="18"/>
          <w:szCs w:val="18"/>
          <w:highlight w:val="yellow"/>
        </w:rPr>
        <w:t>2</w:t>
      </w:r>
      <w:r w:rsidR="00846F0E" w:rsidRPr="00023C96">
        <w:rPr>
          <w:rFonts w:ascii="Tahoma" w:hAnsi="Tahoma" w:cs="Tahoma"/>
          <w:b/>
          <w:bCs/>
          <w:color w:val="0070C0"/>
          <w:sz w:val="18"/>
          <w:szCs w:val="18"/>
          <w:highlight w:val="yellow"/>
        </w:rPr>
        <w:t>.20</w:t>
      </w:r>
      <w:r w:rsidR="006B2AC4" w:rsidRPr="00023C96">
        <w:rPr>
          <w:rFonts w:ascii="Tahoma" w:hAnsi="Tahoma" w:cs="Tahoma"/>
          <w:b/>
          <w:bCs/>
          <w:color w:val="0070C0"/>
          <w:sz w:val="18"/>
          <w:szCs w:val="18"/>
          <w:highlight w:val="yellow"/>
        </w:rPr>
        <w:t>2</w:t>
      </w:r>
      <w:r w:rsidR="00A52A0A" w:rsidRPr="00023C96">
        <w:rPr>
          <w:rFonts w:ascii="Tahoma" w:hAnsi="Tahoma" w:cs="Tahoma"/>
          <w:b/>
          <w:bCs/>
          <w:color w:val="0070C0"/>
          <w:sz w:val="18"/>
          <w:szCs w:val="18"/>
          <w:highlight w:val="yellow"/>
        </w:rPr>
        <w:t>5</w:t>
      </w:r>
      <w:r w:rsidR="00846F0E" w:rsidRPr="00023C96">
        <w:rPr>
          <w:rFonts w:ascii="Tahoma" w:hAnsi="Tahoma" w:cs="Tahoma"/>
          <w:b/>
          <w:bCs/>
          <w:color w:val="0070C0"/>
          <w:sz w:val="18"/>
          <w:szCs w:val="18"/>
          <w:highlight w:val="yellow"/>
        </w:rPr>
        <w:t>r.</w:t>
      </w:r>
      <w:r w:rsidR="005F3E78" w:rsidRPr="00023C96">
        <w:rPr>
          <w:rFonts w:ascii="Tahoma" w:hAnsi="Tahoma" w:cs="Tahoma"/>
          <w:b/>
          <w:bCs/>
          <w:color w:val="0070C0"/>
          <w:sz w:val="18"/>
          <w:szCs w:val="18"/>
          <w:highlight w:val="yellow"/>
        </w:rPr>
        <w:t xml:space="preserve"> </w:t>
      </w:r>
      <w:r w:rsidR="00846F0E" w:rsidRPr="00023C96">
        <w:rPr>
          <w:rFonts w:ascii="Tahoma" w:hAnsi="Tahoma" w:cs="Tahoma"/>
          <w:b/>
          <w:bCs/>
          <w:color w:val="0070C0"/>
          <w:sz w:val="18"/>
          <w:szCs w:val="18"/>
          <w:highlight w:val="yellow"/>
        </w:rPr>
        <w:t xml:space="preserve">o godz. </w:t>
      </w:r>
      <w:r w:rsidR="004859CD" w:rsidRPr="00023C96">
        <w:rPr>
          <w:rFonts w:ascii="Tahoma" w:hAnsi="Tahoma" w:cs="Tahoma"/>
          <w:b/>
          <w:bCs/>
          <w:color w:val="0070C0"/>
          <w:sz w:val="18"/>
          <w:szCs w:val="18"/>
          <w:highlight w:val="yellow"/>
        </w:rPr>
        <w:t>8</w:t>
      </w:r>
      <w:r w:rsidR="00846F0E" w:rsidRPr="00023C96">
        <w:rPr>
          <w:rFonts w:ascii="Tahoma" w:hAnsi="Tahoma" w:cs="Tahoma"/>
          <w:b/>
          <w:bCs/>
          <w:color w:val="0070C0"/>
          <w:sz w:val="18"/>
          <w:szCs w:val="18"/>
          <w:highlight w:val="yellow"/>
        </w:rPr>
        <w:t>:</w:t>
      </w:r>
      <w:r w:rsidR="004859CD" w:rsidRPr="00023C96">
        <w:rPr>
          <w:rFonts w:ascii="Tahoma" w:hAnsi="Tahoma" w:cs="Tahoma"/>
          <w:b/>
          <w:bCs/>
          <w:color w:val="0070C0"/>
          <w:sz w:val="18"/>
          <w:szCs w:val="18"/>
          <w:highlight w:val="yellow"/>
        </w:rPr>
        <w:t>3</w:t>
      </w:r>
      <w:r w:rsidR="00846F0E" w:rsidRPr="00023C96">
        <w:rPr>
          <w:rFonts w:ascii="Tahoma" w:hAnsi="Tahoma" w:cs="Tahoma"/>
          <w:b/>
          <w:bCs/>
          <w:color w:val="0070C0"/>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863C00">
        <w:t xml:space="preserve"> </w:t>
      </w:r>
      <w:r w:rsidR="00863C00">
        <w:rPr>
          <w:rFonts w:ascii="Tahoma" w:hAnsi="Tahoma" w:cs="Tahoma"/>
          <w:sz w:val="18"/>
          <w:szCs w:val="18"/>
        </w:rPr>
        <w:t>wskazanej w punkcie 1.1. SWZ</w:t>
      </w:r>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A13B2D4"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75FD5046"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863C00">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375DE917"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CC3C6D">
        <w:rPr>
          <w:rFonts w:ascii="Tahoma" w:hAnsi="Tahoma" w:cs="Tahoma"/>
          <w:sz w:val="18"/>
          <w:szCs w:val="18"/>
        </w:rPr>
        <w:t>4</w:t>
      </w:r>
      <w:r w:rsidR="008A2F22">
        <w:rPr>
          <w:rFonts w:ascii="Tahoma" w:hAnsi="Tahoma" w:cs="Tahoma"/>
          <w:sz w:val="18"/>
          <w:szCs w:val="18"/>
        </w:rPr>
        <w:t xml:space="preserve">r., poz. </w:t>
      </w:r>
      <w:r w:rsidR="00CC3C6D">
        <w:rPr>
          <w:rFonts w:ascii="Tahoma" w:hAnsi="Tahoma" w:cs="Tahoma"/>
          <w:sz w:val="18"/>
          <w:szCs w:val="18"/>
        </w:rPr>
        <w:t>361 t.j.</w:t>
      </w:r>
      <w:r w:rsidR="007B5E64">
        <w:rPr>
          <w:rFonts w:ascii="Tahoma" w:hAnsi="Tahoma" w:cs="Tahoma"/>
          <w:sz w:val="18"/>
          <w:szCs w:val="18"/>
        </w:rPr>
        <w:t xml:space="preserve">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lastRenderedPageBreak/>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t>
      </w:r>
      <w:r w:rsidR="00572877">
        <w:rPr>
          <w:rFonts w:ascii="Tahoma" w:hAnsi="Tahoma" w:cs="Tahoma"/>
          <w:bCs/>
          <w:sz w:val="18"/>
          <w:szCs w:val="18"/>
        </w:rPr>
        <w:lastRenderedPageBreak/>
        <w:t xml:space="preserve">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22A4ACB8"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863C00">
        <w:t xml:space="preserve"> </w:t>
      </w:r>
      <w:r w:rsidR="00863C00">
        <w:rPr>
          <w:rFonts w:ascii="Tahoma" w:hAnsi="Tahoma" w:cs="Tahoma"/>
          <w:sz w:val="18"/>
          <w:szCs w:val="18"/>
        </w:rPr>
        <w:t>wskazanym w punkcie 1.1. SWZ</w:t>
      </w:r>
      <w:r w:rsidR="00FB7E0E" w:rsidRPr="0027079C">
        <w:rPr>
          <w:rFonts w:cs="Arial"/>
          <w:color w:val="FF0000"/>
        </w:rPr>
        <w:t>.</w:t>
      </w:r>
    </w:p>
    <w:p w14:paraId="06392FAA" w14:textId="77777777" w:rsidR="00ED6DDC" w:rsidRDefault="00ED6DDC" w:rsidP="00FB7E0E">
      <w:pPr>
        <w:pStyle w:val="Tekstpodstawowywcity3"/>
        <w:ind w:left="426" w:hanging="426"/>
        <w:rPr>
          <w:rFonts w:cs="Arial"/>
          <w:color w:val="000000"/>
        </w:rPr>
      </w:pP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079E80F"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3343B">
        <w:rPr>
          <w:rFonts w:ascii="Tahoma" w:hAnsi="Tahoma" w:cs="Tahoma"/>
          <w:b/>
          <w:sz w:val="18"/>
          <w:szCs w:val="18"/>
        </w:rPr>
        <w:t>6</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2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2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171DC3A3" w:rsidR="000638B0" w:rsidRDefault="00A20B73" w:rsidP="0027079C">
      <w:pPr>
        <w:ind w:left="851" w:hanging="567"/>
        <w:jc w:val="both"/>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27079C" w:rsidRPr="0027079C">
        <w:rPr>
          <w:rFonts w:ascii="Tahoma" w:hAnsi="Tahoma" w:cs="Tahoma"/>
          <w:b/>
          <w:color w:val="0070C0"/>
          <w:sz w:val="18"/>
          <w:szCs w:val="18"/>
        </w:rPr>
        <w:t xml:space="preserve"> </w:t>
      </w:r>
      <w:r w:rsidR="0027079C" w:rsidRPr="00431571">
        <w:rPr>
          <w:rFonts w:ascii="Tahoma" w:hAnsi="Tahoma" w:cs="Tahoma"/>
          <w:b/>
          <w:color w:val="0070C0"/>
          <w:sz w:val="18"/>
          <w:szCs w:val="18"/>
        </w:rPr>
        <w:t>„</w:t>
      </w:r>
      <w:bookmarkStart w:id="21" w:name="_Hlk157070961"/>
      <w:r w:rsidR="0027079C">
        <w:rPr>
          <w:rFonts w:ascii="Tahoma" w:hAnsi="Tahoma" w:cs="Tahoma"/>
          <w:b/>
          <w:color w:val="0070C0"/>
          <w:sz w:val="18"/>
          <w:szCs w:val="18"/>
        </w:rPr>
        <w:t>Kompleksowa u</w:t>
      </w:r>
      <w:r w:rsidR="0027079C" w:rsidRPr="002E1FDD">
        <w:rPr>
          <w:rFonts w:ascii="Tahoma" w:hAnsi="Tahoma" w:cs="Tahoma"/>
          <w:b/>
          <w:color w:val="0070C0"/>
          <w:sz w:val="18"/>
          <w:szCs w:val="18"/>
        </w:rPr>
        <w:t>sługa odbioru i przekazania do zagospodarowania niesegregowanych (zmieszanych) odpadów komunalnych, zmieszanych odpadów opakowaniowych oraz odbierania i przekazywania do instalacji odzysku lub unieszkodliwienia selektywnie zebranych odpadów komunalnych WS-SPZOZ</w:t>
      </w:r>
      <w:r w:rsidR="0027079C">
        <w:rPr>
          <w:rFonts w:ascii="Tahoma" w:hAnsi="Tahoma" w:cs="Tahoma"/>
          <w:b/>
          <w:color w:val="0070C0"/>
          <w:sz w:val="18"/>
          <w:szCs w:val="18"/>
        </w:rPr>
        <w:t xml:space="preserve"> wraz z </w:t>
      </w:r>
      <w:r w:rsidR="007829A4">
        <w:rPr>
          <w:rFonts w:ascii="Tahoma" w:hAnsi="Tahoma" w:cs="Tahoma"/>
          <w:b/>
          <w:color w:val="0070C0"/>
          <w:sz w:val="18"/>
          <w:szCs w:val="18"/>
        </w:rPr>
        <w:t>najmem</w:t>
      </w:r>
      <w:r w:rsidR="0027079C">
        <w:rPr>
          <w:rFonts w:ascii="Tahoma" w:hAnsi="Tahoma" w:cs="Tahoma"/>
          <w:b/>
          <w:color w:val="0070C0"/>
          <w:sz w:val="18"/>
          <w:szCs w:val="18"/>
        </w:rPr>
        <w:t xml:space="preserve"> prasokontenera, pojemników o poj. 1100 l oraz poj. 120 l</w:t>
      </w:r>
      <w:bookmarkEnd w:id="21"/>
      <w:r w:rsidR="0027079C">
        <w:rPr>
          <w:rFonts w:ascii="Tahoma" w:hAnsi="Tahoma" w:cs="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05899324"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7F566C">
        <w:rPr>
          <w:rFonts w:ascii="Tahoma" w:hAnsi="Tahoma" w:cs="Tahoma"/>
          <w:b/>
          <w:sz w:val="18"/>
          <w:szCs w:val="18"/>
        </w:rPr>
        <w:t>Specjalista</w:t>
      </w:r>
      <w:r w:rsidR="005215BC">
        <w:rPr>
          <w:rFonts w:ascii="Tahoma" w:hAnsi="Tahoma" w:cs="Tahoma"/>
          <w:b/>
          <w:sz w:val="18"/>
          <w:szCs w:val="18"/>
        </w:rPr>
        <w:t xml:space="preserve"> Działu Zamówień Publicznych</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26"/>
      <w:footerReference w:type="even" r:id="rId27"/>
      <w:footerReference w:type="default" r:id="rId2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5E5F0B9A"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6A3206">
      <w:rPr>
        <w:rFonts w:ascii="Tahoma" w:hAnsi="Tahoma" w:cs="Tahoma"/>
        <w:sz w:val="18"/>
        <w:szCs w:val="18"/>
      </w:rPr>
      <w:t>8</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2E6EFFC"/>
    <w:name w:val="WW8Num16"/>
    <w:lvl w:ilvl="0">
      <w:start w:val="2"/>
      <w:numFmt w:val="decimal"/>
      <w:lvlText w:val="%1)"/>
      <w:lvlJc w:val="left"/>
      <w:pPr>
        <w:tabs>
          <w:tab w:val="num" w:pos="360"/>
        </w:tabs>
        <w:ind w:left="360" w:hanging="360"/>
      </w:pPr>
    </w:lvl>
    <w:lvl w:ilvl="1">
      <w:start w:val="1"/>
      <w:numFmt w:val="lowerLetter"/>
      <w:lvlText w:val="%2)"/>
      <w:lvlJc w:val="left"/>
      <w:pPr>
        <w:tabs>
          <w:tab w:val="num" w:pos="1151"/>
        </w:tabs>
        <w:ind w:left="1151" w:hanging="360"/>
      </w:pPr>
      <w:rPr>
        <w:rFonts w:ascii="Tahoma" w:hAnsi="Tahoma" w:cs="Tahoma" w:hint="default"/>
        <w:b w:val="0"/>
        <w:bCs/>
        <w:color w:val="auto"/>
        <w:sz w:val="18"/>
        <w:szCs w:val="18"/>
        <w:lang w:eastAsia="zh-CN"/>
      </w:rPr>
    </w:lvl>
    <w:lvl w:ilvl="2">
      <w:start w:val="1"/>
      <w:numFmt w:val="decimal"/>
      <w:lvlText w:val="%3."/>
      <w:lvlJc w:val="left"/>
      <w:pPr>
        <w:tabs>
          <w:tab w:val="num" w:pos="2051"/>
        </w:tabs>
        <w:ind w:left="2051" w:hanging="360"/>
      </w:pPr>
    </w:lvl>
    <w:lvl w:ilvl="3">
      <w:start w:val="1"/>
      <w:numFmt w:val="lowerLetter"/>
      <w:lvlText w:val="%4)"/>
      <w:lvlJc w:val="left"/>
      <w:pPr>
        <w:tabs>
          <w:tab w:val="num" w:pos="0"/>
        </w:tabs>
        <w:ind w:left="2591" w:hanging="360"/>
      </w:pPr>
      <w:rPr>
        <w:color w:val="auto"/>
      </w:r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1"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71F1BA7"/>
    <w:multiLevelType w:val="multilevel"/>
    <w:tmpl w:val="27BC9D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1513AF5"/>
    <w:multiLevelType w:val="multilevel"/>
    <w:tmpl w:val="ECA6245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950D64"/>
    <w:multiLevelType w:val="hybridMultilevel"/>
    <w:tmpl w:val="AB1E2D0C"/>
    <w:lvl w:ilvl="0" w:tplc="0415000B">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9"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20" w15:restartNumberingAfterBreak="0">
    <w:nsid w:val="40FE7FC6"/>
    <w:multiLevelType w:val="multilevel"/>
    <w:tmpl w:val="285254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3"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5"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572B5975"/>
    <w:multiLevelType w:val="hybridMultilevel"/>
    <w:tmpl w:val="3FB0C4A8"/>
    <w:lvl w:ilvl="0" w:tplc="FFFFFFFF">
      <w:start w:val="1"/>
      <w:numFmt w:val="bullet"/>
      <w:lvlText w:val=""/>
      <w:lvlJc w:val="left"/>
      <w:pPr>
        <w:ind w:left="2190" w:hanging="360"/>
      </w:pPr>
      <w:rPr>
        <w:rFonts w:ascii="Wingdings" w:hAnsi="Wingdings"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04150017">
      <w:start w:val="1"/>
      <w:numFmt w:val="lowerLetter"/>
      <w:lvlText w:val="%4)"/>
      <w:lvlJc w:val="left"/>
      <w:pPr>
        <w:ind w:left="4350" w:hanging="360"/>
      </w:p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27"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9"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0"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1"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3"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5"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9"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D0C175D"/>
    <w:multiLevelType w:val="hybridMultilevel"/>
    <w:tmpl w:val="E56C1EC6"/>
    <w:lvl w:ilvl="0" w:tplc="E1AE905E">
      <w:start w:val="1"/>
      <w:numFmt w:val="lowerLetter"/>
      <w:lvlText w:val="%1)"/>
      <w:lvlJc w:val="left"/>
      <w:pPr>
        <w:ind w:left="1843" w:hanging="360"/>
      </w:pPr>
      <w:rPr>
        <w:rFonts w:hint="default"/>
        <w:b w:val="0"/>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num w:numId="1" w16cid:durableId="1037969197">
    <w:abstractNumId w:val="39"/>
  </w:num>
  <w:num w:numId="2" w16cid:durableId="1769034416">
    <w:abstractNumId w:val="27"/>
  </w:num>
  <w:num w:numId="3" w16cid:durableId="417218949">
    <w:abstractNumId w:val="4"/>
  </w:num>
  <w:num w:numId="4" w16cid:durableId="1901557623">
    <w:abstractNumId w:val="24"/>
  </w:num>
  <w:num w:numId="5" w16cid:durableId="1418165001">
    <w:abstractNumId w:val="31"/>
  </w:num>
  <w:num w:numId="6" w16cid:durableId="969088975">
    <w:abstractNumId w:val="5"/>
  </w:num>
  <w:num w:numId="7" w16cid:durableId="1705053788">
    <w:abstractNumId w:val="15"/>
  </w:num>
  <w:num w:numId="8" w16cid:durableId="2076052995">
    <w:abstractNumId w:val="21"/>
  </w:num>
  <w:num w:numId="9" w16cid:durableId="941491627">
    <w:abstractNumId w:val="3"/>
  </w:num>
  <w:num w:numId="10" w16cid:durableId="1592659254">
    <w:abstractNumId w:val="28"/>
  </w:num>
  <w:num w:numId="11" w16cid:durableId="1178736966">
    <w:abstractNumId w:val="2"/>
  </w:num>
  <w:num w:numId="12" w16cid:durableId="208690293">
    <w:abstractNumId w:val="33"/>
  </w:num>
  <w:num w:numId="13" w16cid:durableId="1724061187">
    <w:abstractNumId w:val="19"/>
  </w:num>
  <w:num w:numId="14" w16cid:durableId="2078551717">
    <w:abstractNumId w:val="12"/>
  </w:num>
  <w:num w:numId="15" w16cid:durableId="49692611">
    <w:abstractNumId w:val="38"/>
  </w:num>
  <w:num w:numId="16" w16cid:durableId="1584603663">
    <w:abstractNumId w:val="22"/>
  </w:num>
  <w:num w:numId="17" w16cid:durableId="1670404141">
    <w:abstractNumId w:val="29"/>
  </w:num>
  <w:num w:numId="18" w16cid:durableId="1155533855">
    <w:abstractNumId w:val="17"/>
  </w:num>
  <w:num w:numId="19" w16cid:durableId="1949964423">
    <w:abstractNumId w:val="6"/>
  </w:num>
  <w:num w:numId="20" w16cid:durableId="183635909">
    <w:abstractNumId w:val="7"/>
  </w:num>
  <w:num w:numId="21" w16cid:durableId="905534140">
    <w:abstractNumId w:val="8"/>
  </w:num>
  <w:num w:numId="22" w16cid:durableId="986934999">
    <w:abstractNumId w:val="13"/>
  </w:num>
  <w:num w:numId="23" w16cid:durableId="201089740">
    <w:abstractNumId w:val="32"/>
  </w:num>
  <w:num w:numId="24" w16cid:durableId="360983391">
    <w:abstractNumId w:val="11"/>
  </w:num>
  <w:num w:numId="25" w16cid:durableId="544097717">
    <w:abstractNumId w:val="1"/>
  </w:num>
  <w:num w:numId="26" w16cid:durableId="1144398136">
    <w:abstractNumId w:val="25"/>
  </w:num>
  <w:num w:numId="27" w16cid:durableId="1191140231">
    <w:abstractNumId w:val="35"/>
  </w:num>
  <w:num w:numId="28" w16cid:durableId="1284730883">
    <w:abstractNumId w:val="30"/>
  </w:num>
  <w:num w:numId="29" w16cid:durableId="510029619">
    <w:abstractNumId w:val="34"/>
  </w:num>
  <w:num w:numId="30" w16cid:durableId="908005013">
    <w:abstractNumId w:val="23"/>
  </w:num>
  <w:num w:numId="31" w16cid:durableId="1304851176">
    <w:abstractNumId w:val="9"/>
  </w:num>
  <w:num w:numId="32" w16cid:durableId="80571036">
    <w:abstractNumId w:val="37"/>
  </w:num>
  <w:num w:numId="33" w16cid:durableId="1825505686">
    <w:abstractNumId w:val="16"/>
  </w:num>
  <w:num w:numId="34" w16cid:durableId="191766827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116112">
    <w:abstractNumId w:val="20"/>
  </w:num>
  <w:num w:numId="36" w16cid:durableId="351609746">
    <w:abstractNumId w:val="40"/>
  </w:num>
  <w:num w:numId="37" w16cid:durableId="809515266">
    <w:abstractNumId w:val="18"/>
  </w:num>
  <w:num w:numId="38" w16cid:durableId="81337097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3517827">
    <w:abstractNumId w:val="26"/>
  </w:num>
  <w:num w:numId="40" w16cid:durableId="519928422">
    <w:abstractNumId w:val="18"/>
  </w:num>
  <w:num w:numId="41" w16cid:durableId="2117823880">
    <w:abstractNumId w:val="10"/>
  </w:num>
  <w:num w:numId="42" w16cid:durableId="1668552420">
    <w:abstractNumId w:val="14"/>
  </w:num>
  <w:num w:numId="43" w16cid:durableId="1943293496">
    <w:abstractNumId w:val="3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0176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3C96"/>
    <w:rsid w:val="00024069"/>
    <w:rsid w:val="00024B21"/>
    <w:rsid w:val="00024DD5"/>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8B2"/>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0B49"/>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39D"/>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425E"/>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079C"/>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02A"/>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292"/>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1F0"/>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07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5F5E"/>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3206"/>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B60BA"/>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2D0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F12"/>
    <w:rsid w:val="00773415"/>
    <w:rsid w:val="00773C17"/>
    <w:rsid w:val="00773E60"/>
    <w:rsid w:val="00774302"/>
    <w:rsid w:val="0077446E"/>
    <w:rsid w:val="00774C82"/>
    <w:rsid w:val="00775349"/>
    <w:rsid w:val="007817E9"/>
    <w:rsid w:val="00781ABD"/>
    <w:rsid w:val="007829A4"/>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66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43B"/>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3C00"/>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D7B30"/>
    <w:rsid w:val="008E1CDE"/>
    <w:rsid w:val="008E1E89"/>
    <w:rsid w:val="008E34F8"/>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05E5"/>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08D8"/>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3C6D"/>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4F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481"/>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1"/>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1"/>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90467908">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7013051">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02994448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55444" TargetMode="External"/><Relationship Id="rId18" Type="http://schemas.openxmlformats.org/officeDocument/2006/relationships/hyperlink" Target="http://www.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mailto:iod@spzoz.zgorzlec.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zam.publ@spzoz.zgorze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pn/spzoz_zgorzelec" TargetMode="External"/><Relationship Id="rId28"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5544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7022</TotalTime>
  <Pages>18</Pages>
  <Words>10403</Words>
  <Characters>62420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72678</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240</cp:revision>
  <cp:lastPrinted>2025-02-06T12:04:00Z</cp:lastPrinted>
  <dcterms:created xsi:type="dcterms:W3CDTF">2021-01-04T07:41:00Z</dcterms:created>
  <dcterms:modified xsi:type="dcterms:W3CDTF">2025-02-06T13:07:00Z</dcterms:modified>
</cp:coreProperties>
</file>