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21E" w14:textId="77777777"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56890EA5"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247C48">
        <w:rPr>
          <w:szCs w:val="24"/>
        </w:rPr>
        <w:t>33</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77777777" w:rsidR="00C21D0C" w:rsidRPr="002D4A3B" w:rsidRDefault="00C21D0C">
      <w:pPr>
        <w:pStyle w:val="Tekstpodstawowy"/>
        <w:spacing w:before="0" w:after="240" w:line="276" w:lineRule="auto"/>
        <w:jc w:val="both"/>
        <w:rPr>
          <w:szCs w:val="24"/>
        </w:rPr>
      </w:pPr>
    </w:p>
    <w:p w14:paraId="41F79E17" w14:textId="3D3338DD" w:rsidR="002778C7" w:rsidRPr="002D4A3B" w:rsidRDefault="00B32B4E" w:rsidP="005B3842">
      <w:pPr>
        <w:spacing w:after="240" w:line="276" w:lineRule="auto"/>
        <w:jc w:val="center"/>
        <w:rPr>
          <w:rFonts w:ascii="Arial" w:hAnsi="Arial" w:cs="Arial"/>
          <w:i/>
          <w:iCs/>
          <w:sz w:val="24"/>
          <w:szCs w:val="24"/>
          <w:u w:val="single"/>
        </w:rPr>
      </w:pPr>
      <w:r>
        <w:rPr>
          <w:rFonts w:ascii="Arial" w:eastAsia="Times New Roman" w:hAnsi="Arial" w:cs="Arial"/>
          <w:b/>
          <w:bCs/>
          <w:i/>
          <w:iCs/>
          <w:kern w:val="2"/>
          <w:sz w:val="24"/>
          <w:szCs w:val="24"/>
          <w:lang w:eastAsia="ar-SA"/>
        </w:rPr>
        <w:t>Przebudowa ulicy Gdańskiej z przyległymi ulicami.</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2FAEB0D5"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5E4FFB">
        <w:rPr>
          <w:rFonts w:ascii="Arial" w:hAnsi="Arial" w:cs="Arial"/>
          <w:sz w:val="24"/>
          <w:szCs w:val="24"/>
        </w:rPr>
        <w:t>17 czerwca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D676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D676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 xml:space="preserve">Plac </w:t>
      </w:r>
      <w:proofErr w:type="spellStart"/>
      <w:r w:rsidR="00B4302F" w:rsidRPr="002D4A3B">
        <w:rPr>
          <w:szCs w:val="24"/>
        </w:rPr>
        <w:t>Wolnosci</w:t>
      </w:r>
      <w:proofErr w:type="spellEnd"/>
      <w:r w:rsidR="00B4302F" w:rsidRPr="002D4A3B">
        <w:rPr>
          <w:szCs w:val="24"/>
        </w:rPr>
        <w:t xml:space="preserve">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47235D9E" w14:textId="7E5CFF58" w:rsidR="00AF68B4" w:rsidRDefault="00412F08" w:rsidP="00412F08">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D75FAE">
        <w:rPr>
          <w:rFonts w:ascii="Arial" w:hAnsi="Arial" w:cs="Arial"/>
          <w:sz w:val="24"/>
          <w:szCs w:val="24"/>
        </w:rPr>
        <w:t>budowa sieci uzbrojenia podziemnego – sieci kanalizacji deszczowej wraz z wpustami deszczowymi dla ulic 1, 2, 3, 4, 5 dla zadania: Zaułek Chełmiński z przyległymi ulicami.</w:t>
      </w: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078BE65A" w14:textId="5851CC2B" w:rsidR="006E75FC" w:rsidRDefault="006E75FC" w:rsidP="006E75FC">
      <w:pPr>
        <w:suppressAutoHyphens/>
        <w:spacing w:after="0" w:line="312" w:lineRule="auto"/>
        <w:ind w:right="-567"/>
        <w:jc w:val="both"/>
        <w:rPr>
          <w:rFonts w:cs="Calibri"/>
          <w:sz w:val="24"/>
          <w:szCs w:val="24"/>
        </w:rPr>
      </w:pPr>
      <w:r>
        <w:rPr>
          <w:rFonts w:cs="Calibri"/>
          <w:sz w:val="24"/>
          <w:szCs w:val="24"/>
        </w:rPr>
        <w:t xml:space="preserve">45230000-8 </w:t>
      </w:r>
      <w:bookmarkStart w:id="7" w:name="_Hlk158185558"/>
      <w:r>
        <w:rPr>
          <w:rFonts w:cs="Calibri"/>
          <w:sz w:val="24"/>
          <w:szCs w:val="24"/>
        </w:rPr>
        <w:t>–</w:t>
      </w:r>
      <w:bookmarkEnd w:id="7"/>
      <w:r>
        <w:rPr>
          <w:rFonts w:cs="Calibri"/>
          <w:sz w:val="24"/>
          <w:szCs w:val="24"/>
        </w:rPr>
        <w:t xml:space="preserve"> Roboty budowlane w zakresie budowy rurociągów, linii komunikacyjnych i elektroenergetycznych, autostrad, dróg, lotnisk i kolei; wyrównywanie terenu,</w:t>
      </w:r>
    </w:p>
    <w:p w14:paraId="4122E87E" w14:textId="77777777" w:rsidR="00D75FAE" w:rsidRDefault="00D75FAE" w:rsidP="00D75FAE">
      <w:pPr>
        <w:suppressAutoHyphens/>
        <w:spacing w:after="0" w:line="312" w:lineRule="auto"/>
        <w:ind w:right="-567"/>
        <w:jc w:val="both"/>
        <w:rPr>
          <w:rFonts w:cstheme="minorHAnsi"/>
          <w:sz w:val="24"/>
          <w:szCs w:val="24"/>
        </w:rPr>
      </w:pPr>
      <w:r>
        <w:rPr>
          <w:rFonts w:cstheme="minorHAnsi"/>
          <w:sz w:val="24"/>
          <w:szCs w:val="24"/>
        </w:rPr>
        <w:t xml:space="preserve">45000000-7 </w:t>
      </w:r>
      <w:r>
        <w:rPr>
          <w:rFonts w:cs="Calibri"/>
          <w:sz w:val="24"/>
          <w:szCs w:val="24"/>
        </w:rPr>
        <w:t>–</w:t>
      </w:r>
      <w:r>
        <w:rPr>
          <w:rFonts w:cstheme="minorHAnsi"/>
          <w:sz w:val="24"/>
          <w:szCs w:val="24"/>
        </w:rPr>
        <w:t xml:space="preserve"> Roboty budowlane,</w:t>
      </w:r>
    </w:p>
    <w:p w14:paraId="2525FDA0" w14:textId="77777777" w:rsidR="006E75FC" w:rsidRDefault="006E75FC" w:rsidP="006E75FC">
      <w:pPr>
        <w:suppressAutoHyphens/>
        <w:spacing w:after="0" w:line="312" w:lineRule="auto"/>
        <w:ind w:right="-567"/>
        <w:jc w:val="both"/>
        <w:rPr>
          <w:rFonts w:cs="Calibri"/>
          <w:sz w:val="24"/>
          <w:szCs w:val="24"/>
        </w:rPr>
      </w:pPr>
      <w:r>
        <w:rPr>
          <w:rFonts w:cs="Calibri"/>
          <w:sz w:val="24"/>
          <w:szCs w:val="24"/>
        </w:rPr>
        <w:t>45111200-0 – Roboty w zakresie przygotowania terenu pod budowę i roboty ziemne,</w:t>
      </w:r>
    </w:p>
    <w:p w14:paraId="3D7FAD3B" w14:textId="77777777" w:rsidR="006E75FC" w:rsidRDefault="006E75FC" w:rsidP="006E75FC">
      <w:pPr>
        <w:suppressAutoHyphens/>
        <w:spacing w:after="0" w:line="312" w:lineRule="auto"/>
        <w:ind w:right="-567"/>
        <w:rPr>
          <w:rFonts w:cs="Calibri"/>
          <w:sz w:val="24"/>
          <w:szCs w:val="24"/>
        </w:rPr>
      </w:pPr>
      <w:r>
        <w:rPr>
          <w:rFonts w:cs="Calibri"/>
          <w:sz w:val="24"/>
          <w:szCs w:val="24"/>
        </w:rPr>
        <w:t>45200000-9 – Roboty budowlane w zakresie wznoszenia kompletnych obiektów budowlanych lub ich części oraz roboty w zakresie inżynierii lądowej i wodnej,</w:t>
      </w:r>
    </w:p>
    <w:p w14:paraId="66257C8F" w14:textId="77777777" w:rsidR="006E75FC" w:rsidRDefault="006E75FC" w:rsidP="006E75FC">
      <w:pPr>
        <w:suppressAutoHyphens/>
        <w:spacing w:after="0" w:line="312" w:lineRule="auto"/>
        <w:ind w:right="-567"/>
        <w:jc w:val="both"/>
        <w:rPr>
          <w:rFonts w:cstheme="minorHAnsi"/>
          <w:sz w:val="24"/>
          <w:szCs w:val="24"/>
        </w:rPr>
      </w:pPr>
      <w:r>
        <w:rPr>
          <w:rFonts w:cs="Calibri"/>
          <w:sz w:val="24"/>
          <w:szCs w:val="24"/>
        </w:rPr>
        <w:t>45232000-2 – Roboty pomocnicze w zakresie rurociągów i kabli.</w:t>
      </w:r>
    </w:p>
    <w:p w14:paraId="486F5DE3" w14:textId="35CC2093" w:rsidR="00D67587" w:rsidRPr="002D4A3B" w:rsidRDefault="00D67587" w:rsidP="00D67587">
      <w:pPr>
        <w:pStyle w:val="Nagwek1"/>
        <w:numPr>
          <w:ilvl w:val="0"/>
          <w:numId w:val="1"/>
        </w:numPr>
        <w:rPr>
          <w:sz w:val="24"/>
          <w:szCs w:val="24"/>
        </w:rPr>
      </w:pPr>
      <w:bookmarkStart w:id="8" w:name="_Toc157768202"/>
      <w:bookmarkStart w:id="9" w:name="_Toc109997373"/>
      <w:r w:rsidRPr="002D4A3B">
        <w:rPr>
          <w:sz w:val="24"/>
          <w:szCs w:val="24"/>
        </w:rPr>
        <w:t>Projektowane postanowienia umowy:</w:t>
      </w:r>
      <w:bookmarkEnd w:id="8"/>
    </w:p>
    <w:p w14:paraId="71752294" w14:textId="1E3F361F" w:rsidR="00D67587" w:rsidRPr="002D4A3B" w:rsidRDefault="00D67587" w:rsidP="00D75FAE">
      <w:pPr>
        <w:pStyle w:val="Akapitzlist"/>
        <w:spacing w:after="240" w:line="276" w:lineRule="auto"/>
        <w:ind w:left="360"/>
        <w:jc w:val="both"/>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0" w:name="_Toc157768203"/>
      <w:r w:rsidRPr="002D4A3B">
        <w:rPr>
          <w:sz w:val="24"/>
          <w:szCs w:val="24"/>
        </w:rPr>
        <w:t>Termin wykonania zamówienia:</w:t>
      </w:r>
      <w:bookmarkEnd w:id="10"/>
    </w:p>
    <w:p w14:paraId="6F4FE0F2" w14:textId="39FF3D1B"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D75FAE">
        <w:rPr>
          <w:rFonts w:cs="Arial"/>
          <w:sz w:val="24"/>
          <w:szCs w:val="24"/>
        </w:rPr>
        <w:t>6</w:t>
      </w:r>
      <w:r w:rsidR="00C811E9">
        <w:rPr>
          <w:rFonts w:cs="Arial"/>
          <w:sz w:val="24"/>
          <w:szCs w:val="24"/>
        </w:rPr>
        <w:t xml:space="preserve"> miesięcy</w:t>
      </w:r>
      <w:r w:rsidR="00627A7C">
        <w:rPr>
          <w:rFonts w:cs="Arial"/>
          <w:sz w:val="24"/>
          <w:szCs w:val="24"/>
        </w:rPr>
        <w:t>. Termin będzie liczony od dania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4"/>
      <w:r w:rsidRPr="002D4A3B">
        <w:rPr>
          <w:sz w:val="24"/>
          <w:szCs w:val="24"/>
          <w:lang w:eastAsia="ar-SA"/>
        </w:rPr>
        <w:t>Wymagania dotyczące wadium.</w:t>
      </w:r>
      <w:bookmarkEnd w:id="9"/>
      <w:bookmarkEnd w:id="11"/>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2"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Ilekroć w SWZ jest mowa o środkach komunikacji elektronicznej należy przez to rozumieć środki komunikacji elektronicznej w rozumieniu ustawy </w:t>
      </w:r>
      <w:r w:rsidRPr="002D4A3B">
        <w:rPr>
          <w:rFonts w:ascii="Arial" w:hAnsi="Arial" w:cs="Arial"/>
          <w:sz w:val="24"/>
          <w:szCs w:val="24"/>
        </w:rPr>
        <w:lastRenderedPageBreak/>
        <w:t>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D09A32"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3"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3"/>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7"/>
      <w:r w:rsidRPr="002D4A3B">
        <w:rPr>
          <w:sz w:val="24"/>
          <w:szCs w:val="24"/>
          <w:lang w:eastAsia="ar-SA"/>
        </w:rPr>
        <w:t>Wskazanie osób uprawnionych do komunikowania się z wykonawcami.</w:t>
      </w:r>
      <w:bookmarkEnd w:id="14"/>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6CFF2B7D" w:rsidR="00C21D0C" w:rsidRPr="002D4A3B" w:rsidRDefault="00C811E9">
      <w:pPr>
        <w:pStyle w:val="Tekstpodstawowy"/>
        <w:numPr>
          <w:ilvl w:val="1"/>
          <w:numId w:val="1"/>
        </w:numPr>
        <w:spacing w:before="0" w:line="276" w:lineRule="auto"/>
        <w:ind w:left="1134" w:hanging="774"/>
        <w:jc w:val="both"/>
        <w:rPr>
          <w:szCs w:val="24"/>
        </w:rPr>
      </w:pPr>
      <w:r>
        <w:rPr>
          <w:szCs w:val="24"/>
        </w:rPr>
        <w:t xml:space="preserve">Marzena Mleczarek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8"/>
      <w:r w:rsidRPr="002D4A3B">
        <w:rPr>
          <w:sz w:val="24"/>
          <w:szCs w:val="24"/>
          <w:lang w:eastAsia="ar-SA"/>
        </w:rPr>
        <w:t>Opis sposobu przygotowania oferty.</w:t>
      </w:r>
      <w:bookmarkEnd w:id="15"/>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w:t>
      </w:r>
      <w:r w:rsidRPr="002D4A3B">
        <w:rPr>
          <w:szCs w:val="24"/>
        </w:rPr>
        <w:lastRenderedPageBreak/>
        <w:t>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645D7FF8" w14:textId="77777777" w:rsidR="00A90560" w:rsidRPr="002D4A3B" w:rsidRDefault="00A90560">
      <w:pPr>
        <w:pStyle w:val="Nagwek1"/>
        <w:spacing w:after="240" w:line="276" w:lineRule="auto"/>
        <w:ind w:left="1080" w:firstLine="0"/>
        <w:jc w:val="both"/>
        <w:rPr>
          <w:b w:val="0"/>
          <w:sz w:val="24"/>
          <w:szCs w:val="24"/>
          <w:lang w:eastAsia="ar-SA"/>
        </w:rPr>
      </w:pP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9"/>
      <w:r w:rsidRPr="002D4A3B">
        <w:rPr>
          <w:sz w:val="24"/>
          <w:szCs w:val="24"/>
          <w:lang w:eastAsia="ar-SA"/>
        </w:rPr>
        <w:t>Sposób oraz termin składania ofert.</w:t>
      </w:r>
      <w:bookmarkEnd w:id="16"/>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23A47B4E"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26047E">
        <w:rPr>
          <w:rFonts w:ascii="Arial" w:hAnsi="Arial" w:cs="Arial"/>
          <w:b/>
          <w:sz w:val="24"/>
          <w:szCs w:val="24"/>
        </w:rPr>
        <w:t>0</w:t>
      </w:r>
      <w:r w:rsidR="00092267">
        <w:rPr>
          <w:rFonts w:ascii="Arial" w:hAnsi="Arial" w:cs="Arial"/>
          <w:b/>
          <w:sz w:val="24"/>
          <w:szCs w:val="24"/>
        </w:rPr>
        <w:t>3</w:t>
      </w:r>
      <w:r w:rsidRPr="002D4A3B">
        <w:rPr>
          <w:rFonts w:ascii="Arial" w:hAnsi="Arial" w:cs="Arial"/>
          <w:b/>
          <w:sz w:val="24"/>
          <w:szCs w:val="24"/>
        </w:rPr>
        <w:t>.</w:t>
      </w:r>
      <w:r w:rsidR="0070648F" w:rsidRPr="002D4A3B">
        <w:rPr>
          <w:rFonts w:ascii="Arial" w:hAnsi="Arial" w:cs="Arial"/>
          <w:b/>
          <w:sz w:val="24"/>
          <w:szCs w:val="24"/>
        </w:rPr>
        <w:t>0</w:t>
      </w:r>
      <w:r w:rsidR="0026047E">
        <w:rPr>
          <w:rFonts w:ascii="Arial" w:hAnsi="Arial" w:cs="Arial"/>
          <w:b/>
          <w:sz w:val="24"/>
          <w:szCs w:val="24"/>
        </w:rPr>
        <w:t>7</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092267">
        <w:rPr>
          <w:rFonts w:ascii="Arial" w:hAnsi="Arial" w:cs="Arial"/>
          <w:b/>
          <w:sz w:val="24"/>
          <w:szCs w:val="24"/>
        </w:rPr>
        <w:t>11</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 xml:space="preserve">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w:t>
      </w:r>
      <w:r w:rsidRPr="002D4A3B">
        <w:rPr>
          <w:rFonts w:ascii="Arial" w:hAnsi="Arial" w:cs="Arial"/>
          <w:sz w:val="24"/>
          <w:szCs w:val="24"/>
        </w:rPr>
        <w:lastRenderedPageBreak/>
        <w:t>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7" w:name="_Toc157768210"/>
      <w:r w:rsidRPr="002D4A3B">
        <w:rPr>
          <w:sz w:val="24"/>
          <w:szCs w:val="24"/>
          <w:lang w:eastAsia="ar-SA"/>
        </w:rPr>
        <w:t>Termin otwarcia ofert.</w:t>
      </w:r>
      <w:bookmarkEnd w:id="17"/>
    </w:p>
    <w:p w14:paraId="42E937F4" w14:textId="163E4C0A"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26047E">
        <w:rPr>
          <w:rFonts w:ascii="Arial" w:hAnsi="Arial" w:cs="Arial"/>
          <w:b/>
          <w:bCs/>
          <w:sz w:val="24"/>
          <w:szCs w:val="24"/>
        </w:rPr>
        <w:t>0</w:t>
      </w:r>
      <w:r w:rsidR="00092267">
        <w:rPr>
          <w:rFonts w:ascii="Arial" w:hAnsi="Arial" w:cs="Arial"/>
          <w:b/>
          <w:bCs/>
          <w:sz w:val="24"/>
          <w:szCs w:val="24"/>
        </w:rPr>
        <w:t>3</w:t>
      </w:r>
      <w:r w:rsidRPr="002D4A3B">
        <w:rPr>
          <w:rFonts w:ascii="Arial" w:hAnsi="Arial" w:cs="Arial"/>
          <w:b/>
          <w:bCs/>
          <w:sz w:val="24"/>
          <w:szCs w:val="24"/>
        </w:rPr>
        <w:t>.</w:t>
      </w:r>
      <w:r w:rsidR="0070648F" w:rsidRPr="002D4A3B">
        <w:rPr>
          <w:rFonts w:ascii="Arial" w:hAnsi="Arial" w:cs="Arial"/>
          <w:b/>
          <w:bCs/>
          <w:sz w:val="24"/>
          <w:szCs w:val="24"/>
        </w:rPr>
        <w:t>0</w:t>
      </w:r>
      <w:r w:rsidR="0026047E">
        <w:rPr>
          <w:rFonts w:ascii="Arial" w:hAnsi="Arial" w:cs="Arial"/>
          <w:b/>
          <w:bCs/>
          <w:sz w:val="24"/>
          <w:szCs w:val="24"/>
        </w:rPr>
        <w:t>7</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092267">
        <w:rPr>
          <w:rFonts w:ascii="Arial" w:hAnsi="Arial" w:cs="Arial"/>
          <w:b/>
          <w:bCs/>
          <w:sz w:val="24"/>
          <w:szCs w:val="24"/>
        </w:rPr>
        <w:t>11</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1"/>
      <w:r w:rsidRPr="002D4A3B">
        <w:rPr>
          <w:sz w:val="24"/>
          <w:szCs w:val="24"/>
          <w:lang w:eastAsia="ar-SA"/>
        </w:rPr>
        <w:t>Termin związania ofertą.</w:t>
      </w:r>
      <w:bookmarkEnd w:id="18"/>
    </w:p>
    <w:p w14:paraId="131A2F59" w14:textId="5309FD72"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26047E">
        <w:rPr>
          <w:rFonts w:ascii="Arial" w:hAnsi="Arial" w:cs="Arial"/>
          <w:b/>
          <w:bCs/>
          <w:sz w:val="24"/>
          <w:szCs w:val="24"/>
        </w:rPr>
        <w:t>1</w:t>
      </w:r>
      <w:r w:rsidRPr="002D4A3B">
        <w:rPr>
          <w:rFonts w:ascii="Arial" w:hAnsi="Arial" w:cs="Arial"/>
          <w:b/>
          <w:bCs/>
          <w:sz w:val="24"/>
          <w:szCs w:val="24"/>
        </w:rPr>
        <w:t>.</w:t>
      </w:r>
      <w:r w:rsidR="0070648F" w:rsidRPr="002D4A3B">
        <w:rPr>
          <w:rFonts w:ascii="Arial" w:hAnsi="Arial" w:cs="Arial"/>
          <w:b/>
          <w:bCs/>
          <w:sz w:val="24"/>
          <w:szCs w:val="24"/>
        </w:rPr>
        <w:t>0</w:t>
      </w:r>
      <w:r w:rsidR="00092267">
        <w:rPr>
          <w:rFonts w:ascii="Arial" w:hAnsi="Arial" w:cs="Arial"/>
          <w:b/>
          <w:bCs/>
          <w:sz w:val="24"/>
          <w:szCs w:val="24"/>
        </w:rPr>
        <w:t>8</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9"/>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3"/>
      <w:r w:rsidRPr="002D4A3B">
        <w:rPr>
          <w:sz w:val="24"/>
          <w:szCs w:val="24"/>
          <w:lang w:eastAsia="ar-SA"/>
        </w:rPr>
        <w:t>Informacje o warunkach udziału w postępowaniu.</w:t>
      </w:r>
      <w:bookmarkEnd w:id="20"/>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O udzielenie zamówienia mogą ubiegać się wykonawcy, którzy</w:t>
      </w:r>
      <w:r w:rsidR="005A4467" w:rsidRPr="002D4A3B">
        <w:rPr>
          <w:rFonts w:ascii="Arial" w:hAnsi="Arial" w:cs="Arial"/>
          <w:sz w:val="24"/>
          <w:szCs w:val="24"/>
        </w:rPr>
        <w:t>:</w:t>
      </w:r>
    </w:p>
    <w:p w14:paraId="248D33BB" w14:textId="4503F2B5"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posiadają wiedzę i doświadczenie niezbędne do wykonania przedmiotu zamówienia, tj. w okresie ostatnich pięciu lat przed upływem terminu składania ofert, a jeżeli okres prowadzenia działalności jest krótszy – w tym okresie, wykonali co najmniej jedną robotę budowlaną, polegającą na budowie, rozbudowie lub przebudowie dróg, w technologii betonowej (kostka betonowa) wraz z budową/przebudową infrastruktury technicznej o wartości 200 000,00 zł (brutto),</w:t>
      </w:r>
    </w:p>
    <w:p w14:paraId="04E7368B" w14:textId="2A98EAA0"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dysponują osobami zdolnymi do wykonania zamówienia, które będą uczestniczyć w wykonywaniu zamówienia, tj. posiadającymi prawo do wykonywania samodzielnych funkcji technicznych w budownictwie zgodnie z poniższym wyszczególnieniem:</w:t>
      </w:r>
    </w:p>
    <w:p w14:paraId="352418A3" w14:textId="5DC33515"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co najmniej jedną osobą, która będzie pełniła funkcję kierownika budowy, posiadającą uprawnienia budowlane do kierowania robotami budowlanymi w specjalności inżynieryjnej drogowej, bez ograniczeń;</w:t>
      </w:r>
    </w:p>
    <w:p w14:paraId="5F271826" w14:textId="77777777"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co najmniej jedną osobą, która będzie pełniła funkcję kierownika robót, posiadającą uprawnienia budowlane do kierowania robotami budowlanymi w specjalności instalacyjnej w zakresie sieci, instalacji i urządzeń wodociągowych i kanalizacyjnych;</w:t>
      </w:r>
    </w:p>
    <w:p w14:paraId="5D8EA0BF" w14:textId="48F44C7C" w:rsidR="00C21D0C" w:rsidRPr="005E4FFB" w:rsidRDefault="005A4467"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 xml:space="preserve">zatrudniają co najmniej </w:t>
      </w:r>
      <w:r w:rsidR="00676313" w:rsidRPr="005E4FFB">
        <w:rPr>
          <w:rFonts w:ascii="Arial" w:hAnsi="Arial" w:cs="Arial"/>
          <w:sz w:val="24"/>
          <w:szCs w:val="24"/>
        </w:rPr>
        <w:t>jedną</w:t>
      </w:r>
      <w:r w:rsidRPr="005E4FFB">
        <w:rPr>
          <w:rFonts w:ascii="Arial" w:hAnsi="Arial" w:cs="Arial"/>
          <w:sz w:val="24"/>
          <w:szCs w:val="24"/>
        </w:rPr>
        <w:t xml:space="preserve"> osob</w:t>
      </w:r>
      <w:r w:rsidR="00676313" w:rsidRPr="005E4FFB">
        <w:rPr>
          <w:rFonts w:ascii="Arial" w:hAnsi="Arial" w:cs="Arial"/>
          <w:sz w:val="24"/>
          <w:szCs w:val="24"/>
        </w:rPr>
        <w:t>ę</w:t>
      </w:r>
      <w:r w:rsidRPr="005E4FFB">
        <w:rPr>
          <w:rFonts w:ascii="Arial" w:hAnsi="Arial" w:cs="Arial"/>
          <w:sz w:val="24"/>
          <w:szCs w:val="24"/>
        </w:rPr>
        <w:t xml:space="preserve"> wykonując</w:t>
      </w:r>
      <w:r w:rsidR="00676313" w:rsidRPr="005E4FFB">
        <w:rPr>
          <w:rFonts w:ascii="Arial" w:hAnsi="Arial" w:cs="Arial"/>
          <w:sz w:val="24"/>
          <w:szCs w:val="24"/>
        </w:rPr>
        <w:t>ą</w:t>
      </w:r>
      <w:r w:rsidRPr="005E4FFB">
        <w:rPr>
          <w:rFonts w:ascii="Arial" w:hAnsi="Arial" w:cs="Arial"/>
          <w:sz w:val="24"/>
          <w:szCs w:val="24"/>
        </w:rPr>
        <w:t xml:space="preserve"> </w:t>
      </w:r>
      <w:r w:rsidR="0096745E" w:rsidRPr="005E4FFB">
        <w:rPr>
          <w:rFonts w:ascii="Arial" w:hAnsi="Arial" w:cs="Arial"/>
          <w:sz w:val="24"/>
          <w:szCs w:val="24"/>
        </w:rPr>
        <w:t>pracę</w:t>
      </w:r>
      <w:r w:rsidRPr="005E4FFB">
        <w:rPr>
          <w:rFonts w:ascii="Arial" w:hAnsi="Arial" w:cs="Arial"/>
          <w:sz w:val="24"/>
          <w:szCs w:val="24"/>
        </w:rPr>
        <w:t xml:space="preserve"> w sposób określony w art. 22 § 1 ustawy z dnia 26 czerwca 1974 r. - Kodeks pracy (Dz. U. z 2023 r., poz. 1465)</w:t>
      </w:r>
      <w:r w:rsidR="002A197A" w:rsidRPr="005E4FFB">
        <w:rPr>
          <w:rFonts w:ascii="Arial" w:hAnsi="Arial" w:cs="Arial"/>
          <w:sz w:val="24"/>
          <w:szCs w:val="24"/>
        </w:rPr>
        <w:t xml:space="preserve"> zgodnie z art. 95 </w:t>
      </w:r>
      <w:proofErr w:type="spellStart"/>
      <w:r w:rsidR="002A197A" w:rsidRPr="005E4FFB">
        <w:rPr>
          <w:rFonts w:ascii="Arial" w:hAnsi="Arial" w:cs="Arial"/>
          <w:sz w:val="24"/>
          <w:szCs w:val="24"/>
        </w:rPr>
        <w:t>Pzp</w:t>
      </w:r>
      <w:proofErr w:type="spellEnd"/>
      <w:r w:rsidR="0096745E" w:rsidRPr="005E4FFB">
        <w:rPr>
          <w:rFonts w:ascii="Arial" w:hAnsi="Arial" w:cs="Arial"/>
          <w:sz w:val="24"/>
          <w:szCs w:val="24"/>
        </w:rPr>
        <w:t>, poprzez</w:t>
      </w:r>
      <w:r w:rsidR="00AF68B4" w:rsidRPr="005E4FFB">
        <w:rPr>
          <w:rFonts w:ascii="Arial" w:hAnsi="Arial" w:cs="Arial"/>
          <w:sz w:val="24"/>
          <w:szCs w:val="24"/>
        </w:rPr>
        <w:t xml:space="preserve"> </w:t>
      </w:r>
      <w:r w:rsidR="0085351E" w:rsidRPr="005E4FFB">
        <w:rPr>
          <w:rFonts w:ascii="Arial" w:hAnsi="Arial" w:cs="Arial"/>
          <w:sz w:val="24"/>
          <w:szCs w:val="24"/>
        </w:rPr>
        <w:t xml:space="preserve">wykonywanie czynności </w:t>
      </w:r>
      <w:r w:rsidR="00D31073" w:rsidRPr="005E4FFB">
        <w:rPr>
          <w:rFonts w:ascii="Arial" w:hAnsi="Arial" w:cs="Arial"/>
          <w:sz w:val="24"/>
          <w:szCs w:val="24"/>
        </w:rPr>
        <w:t>bezpośrednio związanych z robotami budowlanymi w zakresie realizacji przedmiotu umowy– roboty drogowe i instalacyjne.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1"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1"/>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 xml:space="preserve">w przypadku wspólnego ubiegania się o zamówienie przez </w:t>
      </w:r>
      <w:r w:rsidRPr="002D4A3B">
        <w:rPr>
          <w:rFonts w:ascii="Arial" w:hAnsi="Arial" w:cs="Arial"/>
          <w:sz w:val="24"/>
          <w:szCs w:val="24"/>
        </w:rPr>
        <w:lastRenderedPageBreak/>
        <w:t>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2D4A3B">
        <w:rPr>
          <w:rFonts w:ascii="Arial" w:hAnsi="Arial" w:cs="Arial"/>
          <w:sz w:val="24"/>
          <w:szCs w:val="24"/>
        </w:rPr>
        <w:lastRenderedPageBreak/>
        <w:t>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w:t>
      </w:r>
      <w:r w:rsidRPr="002D4A3B">
        <w:rPr>
          <w:rFonts w:ascii="Arial" w:hAnsi="Arial" w:cs="Arial"/>
          <w:sz w:val="24"/>
          <w:szCs w:val="24"/>
        </w:rPr>
        <w:lastRenderedPageBreak/>
        <w:t>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7201E11A"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5"/>
      <w:r w:rsidRPr="002D4A3B">
        <w:rPr>
          <w:sz w:val="24"/>
          <w:szCs w:val="24"/>
          <w:lang w:eastAsia="ar-SA"/>
        </w:rPr>
        <w:t>Sposób obliczenia ceny.</w:t>
      </w:r>
      <w:bookmarkEnd w:id="22"/>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3"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3"/>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76ADE42D" w:rsidR="00671534" w:rsidRDefault="00FF154B" w:rsidP="00FF154B">
      <w:pPr>
        <w:pStyle w:val="Akapitzlist"/>
        <w:numPr>
          <w:ilvl w:val="2"/>
          <w:numId w:val="1"/>
        </w:numPr>
        <w:rPr>
          <w:rFonts w:ascii="Arial" w:hAnsi="Arial" w:cs="Arial"/>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lastRenderedPageBreak/>
        <w:t xml:space="preserve">Wykonawca </w:t>
      </w:r>
      <w:r w:rsidR="00FF154B">
        <w:rPr>
          <w:rFonts w:ascii="Arial" w:hAnsi="Arial" w:cs="Arial"/>
          <w:sz w:val="24"/>
          <w:szCs w:val="24"/>
          <w:lang w:eastAsia="ar-SA"/>
        </w:rPr>
        <w:t>zaoferuje wydłużony, o wskazany czas, okres gwarancji za wady i gwarancji jakości.</w:t>
      </w:r>
    </w:p>
    <w:p w14:paraId="6823F66B" w14:textId="77777777" w:rsidR="00671534" w:rsidRPr="002D4A3B" w:rsidRDefault="00671534" w:rsidP="00671534">
      <w:pPr>
        <w:pStyle w:val="Akapitzlist"/>
        <w:rPr>
          <w:rFonts w:ascii="Arial" w:hAnsi="Arial" w:cs="Arial"/>
          <w:sz w:val="24"/>
          <w:szCs w:val="24"/>
          <w:lang w:eastAsia="ar-SA"/>
        </w:rPr>
      </w:pP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7"/>
      <w:r w:rsidRPr="002D4A3B">
        <w:rPr>
          <w:sz w:val="24"/>
          <w:szCs w:val="24"/>
          <w:lang w:eastAsia="ar-SA"/>
        </w:rPr>
        <w:t>Informacje o formalnościach, jakie muszą zostać dopełnione po wyborze oferty w celu zawarcia umowy w sprawie zamówienia publicznego.</w:t>
      </w:r>
      <w:bookmarkEnd w:id="24"/>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8"/>
      <w:r w:rsidRPr="002D4A3B">
        <w:rPr>
          <w:sz w:val="24"/>
          <w:szCs w:val="24"/>
          <w:lang w:eastAsia="ar-SA"/>
        </w:rPr>
        <w:t>Informacje dotyczące zabezpieczenia należytego wykonania umowy.</w:t>
      </w:r>
      <w:bookmarkEnd w:id="25"/>
    </w:p>
    <w:p w14:paraId="34C7A528" w14:textId="71475666" w:rsidR="00A84E99" w:rsidRDefault="00D1675C" w:rsidP="00A84E99">
      <w:pPr>
        <w:pStyle w:val="Akapitzlist"/>
        <w:numPr>
          <w:ilvl w:val="1"/>
          <w:numId w:val="1"/>
        </w:numPr>
        <w:tabs>
          <w:tab w:val="left" w:pos="0"/>
        </w:tabs>
        <w:spacing w:after="0" w:line="276" w:lineRule="auto"/>
        <w:ind w:left="993" w:hanging="633"/>
        <w:jc w:val="both"/>
        <w:rPr>
          <w:rFonts w:ascii="Arial" w:hAnsi="Arial" w:cs="Arial"/>
        </w:rPr>
      </w:pPr>
      <w:bookmarkStart w:id="26" w:name="_Toc157768219"/>
      <w:r w:rsidRPr="002D4A3B">
        <w:rPr>
          <w:rFonts w:ascii="Arial" w:hAnsi="Arial" w:cs="Arial"/>
          <w:sz w:val="24"/>
          <w:szCs w:val="24"/>
        </w:rPr>
        <w:t>Wykonawca</w:t>
      </w:r>
      <w:r w:rsidR="00A84E99" w:rsidRPr="00A84E99">
        <w:rPr>
          <w:rFonts w:ascii="Arial" w:hAnsi="Arial" w:cs="Arial"/>
        </w:rPr>
        <w:t xml:space="preserve"> </w:t>
      </w:r>
      <w:r w:rsidR="00A84E99">
        <w:rPr>
          <w:rFonts w:ascii="Arial" w:hAnsi="Arial" w:cs="Arial"/>
        </w:rPr>
        <w:t>którego oferta została wybrana jako najkorzystniejsza, zobowiązany jest do wniesienia - przed podpisaniem umowy - zabezpieczenia należytego wykonania umowy (ZNWU) w wysokości: 3</w:t>
      </w:r>
      <w:r w:rsidR="00A84E99" w:rsidRPr="004F10A7">
        <w:rPr>
          <w:rFonts w:ascii="Arial" w:hAnsi="Arial" w:cs="Arial"/>
          <w:b/>
          <w:bCs/>
        </w:rPr>
        <w:t> %</w:t>
      </w:r>
      <w:r w:rsidR="00A84E99">
        <w:rPr>
          <w:rFonts w:ascii="Arial" w:hAnsi="Arial" w:cs="Arial"/>
        </w:rPr>
        <w:t xml:space="preserve"> ceny całkowitej podanej w ofercie.</w:t>
      </w:r>
    </w:p>
    <w:p w14:paraId="6A17B822"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służy do pokrycia roszczeń z tytułu niewykonania lub nienależytego wykonania umowy.</w:t>
      </w:r>
    </w:p>
    <w:p w14:paraId="2AFFF0EE"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może być wnoszone w jednej lub w kilku następujących formach:</w:t>
      </w:r>
    </w:p>
    <w:p w14:paraId="37CAA89D"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pieniądzu;</w:t>
      </w:r>
    </w:p>
    <w:p w14:paraId="74B353D1"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1EA36F64"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bankowych;</w:t>
      </w:r>
    </w:p>
    <w:p w14:paraId="7EF5098B"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ubezpieczeniowych;</w:t>
      </w:r>
    </w:p>
    <w:p w14:paraId="197C1EDF"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49B910C7" w14:textId="397B493A"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Zabezpieczenie wnoszone w pieniądzu powinno zostać wpłacone przelewem na rachunek bankowy zamawiającego, – </w:t>
      </w:r>
      <w:r w:rsidRPr="00A84E99">
        <w:rPr>
          <w:rStyle w:val="Pogrubienie"/>
          <w:sz w:val="24"/>
          <w:szCs w:val="24"/>
        </w:rPr>
        <w:t>PEKAO SA o/Wałcz</w:t>
      </w:r>
      <w:r w:rsidRPr="00A84E99">
        <w:rPr>
          <w:sz w:val="24"/>
          <w:szCs w:val="24"/>
        </w:rPr>
        <w:t xml:space="preserve"> </w:t>
      </w:r>
      <w:r w:rsidRPr="00A84E99">
        <w:rPr>
          <w:sz w:val="24"/>
          <w:szCs w:val="24"/>
        </w:rPr>
        <w:br/>
      </w:r>
      <w:r w:rsidR="00D6768F" w:rsidRPr="00D6768F">
        <w:rPr>
          <w:rFonts w:ascii="Arial" w:hAnsi="Arial" w:cs="Arial"/>
          <w:sz w:val="24"/>
          <w:szCs w:val="24"/>
        </w:rPr>
        <w:t>38 1240 3712 1111 0000 4363 6633</w:t>
      </w:r>
      <w:r>
        <w:t xml:space="preserve">, </w:t>
      </w:r>
      <w:r>
        <w:rPr>
          <w:rFonts w:ascii="Arial" w:hAnsi="Arial" w:cs="Arial"/>
        </w:rPr>
        <w:t>w tytule: „ZNWU IRP.271.</w:t>
      </w:r>
      <w:r w:rsidR="00F07322">
        <w:rPr>
          <w:rFonts w:ascii="Arial" w:hAnsi="Arial" w:cs="Arial"/>
        </w:rPr>
        <w:t>33</w:t>
      </w:r>
      <w:r>
        <w:rPr>
          <w:rFonts w:ascii="Arial" w:hAnsi="Arial" w:cs="Arial"/>
        </w:rPr>
        <w:t>.2024”.</w:t>
      </w:r>
    </w:p>
    <w:p w14:paraId="5BC56BDF"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Zamawiający nie wyraża zgody na wniesienie zabezpieczenia w formach wskazanych w art. 450 ust. 2 ustawy </w:t>
      </w:r>
      <w:proofErr w:type="spellStart"/>
      <w:r>
        <w:rPr>
          <w:rFonts w:ascii="Arial" w:hAnsi="Arial" w:cs="Arial"/>
        </w:rPr>
        <w:t>Pzp</w:t>
      </w:r>
      <w:proofErr w:type="spellEnd"/>
      <w:r>
        <w:rPr>
          <w:rFonts w:ascii="Arial" w:hAnsi="Arial" w:cs="Arial"/>
        </w:rPr>
        <w:t>.</w:t>
      </w:r>
    </w:p>
    <w:p w14:paraId="3FC83216" w14:textId="39CF54E9"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7E365B4B" w14:textId="77777777" w:rsidR="00A84E99" w:rsidRDefault="00A84E99" w:rsidP="00A84E99">
      <w:pPr>
        <w:pStyle w:val="Akapitzlist"/>
        <w:numPr>
          <w:ilvl w:val="1"/>
          <w:numId w:val="1"/>
        </w:numPr>
        <w:spacing w:after="0" w:line="276" w:lineRule="auto"/>
        <w:ind w:left="993" w:right="73" w:hanging="633"/>
        <w:jc w:val="both"/>
        <w:rPr>
          <w:rFonts w:ascii="Arial" w:hAnsi="Arial" w:cs="Arial"/>
        </w:rPr>
      </w:pPr>
      <w:r>
        <w:rPr>
          <w:rFonts w:ascii="Arial" w:hAnsi="Arial" w:cs="Arial"/>
        </w:rPr>
        <w:lastRenderedPageBreak/>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06593C45" w14:textId="77777777" w:rsidR="00A84E99" w:rsidRDefault="00A84E99" w:rsidP="00A84E99">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wskazywać jako beneficjenta: Gminę Trzcianka.</w:t>
      </w:r>
    </w:p>
    <w:p w14:paraId="2869C576" w14:textId="77777777" w:rsidR="00A84E99" w:rsidRDefault="00A84E99" w:rsidP="00A84E99">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7CC901A7"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Zamawiający zwróci zabezpieczenie w następujących terminach:</w:t>
      </w:r>
    </w:p>
    <w:p w14:paraId="46514FF0"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0CC8C113" w14:textId="50ACD981" w:rsidR="00D1675C"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1221123E" w14:textId="77777777" w:rsidR="00A84E99" w:rsidRPr="00A84E99" w:rsidRDefault="00A84E99" w:rsidP="00A84E99">
      <w:pPr>
        <w:pStyle w:val="Akapitzlist"/>
        <w:tabs>
          <w:tab w:val="left" w:pos="0"/>
        </w:tabs>
        <w:spacing w:after="0" w:line="276" w:lineRule="auto"/>
        <w:ind w:left="1560"/>
        <w:jc w:val="both"/>
        <w:rPr>
          <w:rFonts w:ascii="Arial" w:hAnsi="Arial" w:cs="Arial"/>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6"/>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5AAE6F7E" w14:textId="77777777" w:rsidR="00C21D0C" w:rsidRPr="002D4A3B" w:rsidRDefault="00C21D0C">
      <w:pPr>
        <w:pStyle w:val="Nagwek1"/>
        <w:spacing w:before="0" w:line="276" w:lineRule="auto"/>
        <w:ind w:left="426" w:firstLine="0"/>
        <w:jc w:val="both"/>
        <w:rPr>
          <w:b w:val="0"/>
          <w:sz w:val="24"/>
          <w:szCs w:val="24"/>
          <w:lang w:eastAsia="ar-SA"/>
        </w:rPr>
      </w:pP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7" w:name="_Toc157768220"/>
      <w:r w:rsidRPr="002D4A3B">
        <w:rPr>
          <w:sz w:val="24"/>
          <w:szCs w:val="24"/>
          <w:lang w:eastAsia="ar-SA"/>
        </w:rPr>
        <w:t>Postanowienia końcowe.</w:t>
      </w:r>
      <w:bookmarkEnd w:id="27"/>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8"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8"/>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29BA0081" w14:textId="7835436C" w:rsidR="00C21D0C" w:rsidRPr="002D4A3B" w:rsidRDefault="00C21D0C" w:rsidP="00553F09">
      <w:pPr>
        <w:widowControl w:val="0"/>
        <w:tabs>
          <w:tab w:val="left" w:pos="1391"/>
        </w:tabs>
        <w:spacing w:after="0" w:line="240" w:lineRule="auto"/>
        <w:ind w:left="360"/>
        <w:jc w:val="both"/>
        <w:rPr>
          <w:rFonts w:ascii="Arial" w:hAnsi="Arial" w:cs="Arial"/>
          <w:sz w:val="24"/>
          <w:szCs w:val="24"/>
        </w:rPr>
      </w:pP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lastRenderedPageBreak/>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21"/>
      <w:r w:rsidRPr="002D4A3B">
        <w:rPr>
          <w:sz w:val="24"/>
          <w:szCs w:val="24"/>
          <w:lang w:eastAsia="ar-SA"/>
        </w:rPr>
        <w:t>Obowiązek informacyjny RODO.</w:t>
      </w:r>
      <w:bookmarkEnd w:id="29"/>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lastRenderedPageBreak/>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0" w:name="_Toc157768222"/>
      <w:r w:rsidRPr="002D4A3B">
        <w:rPr>
          <w:sz w:val="24"/>
          <w:szCs w:val="24"/>
          <w:lang w:eastAsia="ar-SA"/>
        </w:rPr>
        <w:t>Wykaz załączników.</w:t>
      </w:r>
      <w:bookmarkEnd w:id="30"/>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7"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9"/>
  </w:num>
  <w:num w:numId="2">
    <w:abstractNumId w:val="3"/>
  </w:num>
  <w:num w:numId="3">
    <w:abstractNumId w:val="19"/>
  </w:num>
  <w:num w:numId="4">
    <w:abstractNumId w:val="34"/>
  </w:num>
  <w:num w:numId="5">
    <w:abstractNumId w:val="14"/>
  </w:num>
  <w:num w:numId="6">
    <w:abstractNumId w:val="13"/>
  </w:num>
  <w:num w:numId="7">
    <w:abstractNumId w:val="0"/>
  </w:num>
  <w:num w:numId="8">
    <w:abstractNumId w:val="21"/>
  </w:num>
  <w:num w:numId="9">
    <w:abstractNumId w:val="25"/>
  </w:num>
  <w:num w:numId="10">
    <w:abstractNumId w:val="36"/>
  </w:num>
  <w:num w:numId="11">
    <w:abstractNumId w:val="27"/>
  </w:num>
  <w:num w:numId="12">
    <w:abstractNumId w:val="37"/>
  </w:num>
  <w:num w:numId="13">
    <w:abstractNumId w:val="15"/>
  </w:num>
  <w:num w:numId="14">
    <w:abstractNumId w:val="35"/>
  </w:num>
  <w:num w:numId="15">
    <w:abstractNumId w:val="2"/>
  </w:num>
  <w:num w:numId="16">
    <w:abstractNumId w:val="22"/>
  </w:num>
  <w:num w:numId="17">
    <w:abstractNumId w:val="33"/>
  </w:num>
  <w:num w:numId="18">
    <w:abstractNumId w:val="32"/>
  </w:num>
  <w:num w:numId="19">
    <w:abstractNumId w:val="31"/>
  </w:num>
  <w:num w:numId="20">
    <w:abstractNumId w:val="6"/>
  </w:num>
  <w:num w:numId="21">
    <w:abstractNumId w:val="12"/>
  </w:num>
  <w:num w:numId="22">
    <w:abstractNumId w:val="26"/>
  </w:num>
  <w:num w:numId="23">
    <w:abstractNumId w:val="7"/>
  </w:num>
  <w:num w:numId="24">
    <w:abstractNumId w:val="30"/>
  </w:num>
  <w:num w:numId="25">
    <w:abstractNumId w:val="10"/>
  </w:num>
  <w:num w:numId="26">
    <w:abstractNumId w:val="23"/>
  </w:num>
  <w:num w:numId="27">
    <w:abstractNumId w:val="38"/>
  </w:num>
  <w:num w:numId="28">
    <w:abstractNumId w:val="16"/>
  </w:num>
  <w:num w:numId="29">
    <w:abstractNumId w:val="8"/>
  </w:num>
  <w:num w:numId="30">
    <w:abstractNumId w:val="20"/>
  </w:num>
  <w:num w:numId="31">
    <w:abstractNumId w:val="5"/>
  </w:num>
  <w:num w:numId="32">
    <w:abstractNumId w:val="4"/>
  </w:num>
  <w:num w:numId="33">
    <w:abstractNumId w:val="18"/>
  </w:num>
  <w:num w:numId="34">
    <w:abstractNumId w:val="1"/>
  </w:num>
  <w:num w:numId="35">
    <w:abstractNumId w:val="24"/>
  </w:num>
  <w:num w:numId="36">
    <w:abstractNumId w:val="11"/>
  </w:num>
  <w:num w:numId="37">
    <w:abstractNumId w:val="17"/>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BAB"/>
    <w:rsid w:val="0002742C"/>
    <w:rsid w:val="00032C4D"/>
    <w:rsid w:val="00052A93"/>
    <w:rsid w:val="0005332C"/>
    <w:rsid w:val="00055287"/>
    <w:rsid w:val="00074F10"/>
    <w:rsid w:val="00092267"/>
    <w:rsid w:val="000B0C4F"/>
    <w:rsid w:val="000D1E79"/>
    <w:rsid w:val="000D67BE"/>
    <w:rsid w:val="000E21B1"/>
    <w:rsid w:val="00180D4E"/>
    <w:rsid w:val="001C6E1A"/>
    <w:rsid w:val="001E214F"/>
    <w:rsid w:val="001F710D"/>
    <w:rsid w:val="00204B42"/>
    <w:rsid w:val="00223237"/>
    <w:rsid w:val="00247C48"/>
    <w:rsid w:val="0026047E"/>
    <w:rsid w:val="00275F25"/>
    <w:rsid w:val="002778C7"/>
    <w:rsid w:val="002A197A"/>
    <w:rsid w:val="002B3A4B"/>
    <w:rsid w:val="002D4A3B"/>
    <w:rsid w:val="00300D43"/>
    <w:rsid w:val="00321AD3"/>
    <w:rsid w:val="00340712"/>
    <w:rsid w:val="003479D7"/>
    <w:rsid w:val="00361DE9"/>
    <w:rsid w:val="00391AF6"/>
    <w:rsid w:val="00395105"/>
    <w:rsid w:val="003A4811"/>
    <w:rsid w:val="004102B2"/>
    <w:rsid w:val="00412F08"/>
    <w:rsid w:val="00417110"/>
    <w:rsid w:val="00420B4F"/>
    <w:rsid w:val="00434FCC"/>
    <w:rsid w:val="004356CE"/>
    <w:rsid w:val="0048206A"/>
    <w:rsid w:val="00490955"/>
    <w:rsid w:val="00492C57"/>
    <w:rsid w:val="00495A39"/>
    <w:rsid w:val="004B5D20"/>
    <w:rsid w:val="004B67E2"/>
    <w:rsid w:val="004C27A0"/>
    <w:rsid w:val="004D2713"/>
    <w:rsid w:val="004F10A7"/>
    <w:rsid w:val="004F1DF1"/>
    <w:rsid w:val="00511454"/>
    <w:rsid w:val="00545877"/>
    <w:rsid w:val="00553F09"/>
    <w:rsid w:val="005724EC"/>
    <w:rsid w:val="0059065B"/>
    <w:rsid w:val="005973B6"/>
    <w:rsid w:val="005A2CAA"/>
    <w:rsid w:val="005A4467"/>
    <w:rsid w:val="005A7DB0"/>
    <w:rsid w:val="005B3842"/>
    <w:rsid w:val="005C6468"/>
    <w:rsid w:val="005E4FFB"/>
    <w:rsid w:val="005F05EE"/>
    <w:rsid w:val="00627A7C"/>
    <w:rsid w:val="00647CFA"/>
    <w:rsid w:val="00671534"/>
    <w:rsid w:val="0067195D"/>
    <w:rsid w:val="00673247"/>
    <w:rsid w:val="006743D4"/>
    <w:rsid w:val="00675C71"/>
    <w:rsid w:val="00676313"/>
    <w:rsid w:val="006B4E59"/>
    <w:rsid w:val="006C0A95"/>
    <w:rsid w:val="006E4C50"/>
    <w:rsid w:val="006E75FC"/>
    <w:rsid w:val="007060E0"/>
    <w:rsid w:val="0070648F"/>
    <w:rsid w:val="00720788"/>
    <w:rsid w:val="00732E19"/>
    <w:rsid w:val="00736FA6"/>
    <w:rsid w:val="0075225E"/>
    <w:rsid w:val="00780AF7"/>
    <w:rsid w:val="007931F4"/>
    <w:rsid w:val="007955AD"/>
    <w:rsid w:val="007C4991"/>
    <w:rsid w:val="007E21A2"/>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6ACB"/>
    <w:rsid w:val="00AB0D89"/>
    <w:rsid w:val="00AC1359"/>
    <w:rsid w:val="00AE7E63"/>
    <w:rsid w:val="00AF68B4"/>
    <w:rsid w:val="00B1351C"/>
    <w:rsid w:val="00B14B41"/>
    <w:rsid w:val="00B27536"/>
    <w:rsid w:val="00B32B4E"/>
    <w:rsid w:val="00B4302F"/>
    <w:rsid w:val="00B624F5"/>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6DD5"/>
    <w:rsid w:val="00D027CB"/>
    <w:rsid w:val="00D142ED"/>
    <w:rsid w:val="00D1675C"/>
    <w:rsid w:val="00D30DC3"/>
    <w:rsid w:val="00D31073"/>
    <w:rsid w:val="00D44054"/>
    <w:rsid w:val="00D66CD5"/>
    <w:rsid w:val="00D67587"/>
    <w:rsid w:val="00D6768F"/>
    <w:rsid w:val="00D72509"/>
    <w:rsid w:val="00D75FAE"/>
    <w:rsid w:val="00D80434"/>
    <w:rsid w:val="00D92330"/>
    <w:rsid w:val="00DC445C"/>
    <w:rsid w:val="00DE7CE3"/>
    <w:rsid w:val="00E21508"/>
    <w:rsid w:val="00E41B33"/>
    <w:rsid w:val="00E47FF0"/>
    <w:rsid w:val="00E70A03"/>
    <w:rsid w:val="00E73161"/>
    <w:rsid w:val="00E731E8"/>
    <w:rsid w:val="00E920ED"/>
    <w:rsid w:val="00E92610"/>
    <w:rsid w:val="00E94B84"/>
    <w:rsid w:val="00ED0A2B"/>
    <w:rsid w:val="00ED1D8F"/>
    <w:rsid w:val="00ED3A61"/>
    <w:rsid w:val="00EE61A2"/>
    <w:rsid w:val="00EF1ED1"/>
    <w:rsid w:val="00EF3F55"/>
    <w:rsid w:val="00F07322"/>
    <w:rsid w:val="00F1128D"/>
    <w:rsid w:val="00F32C39"/>
    <w:rsid w:val="00F4252C"/>
    <w:rsid w:val="00F44F22"/>
    <w:rsid w:val="00F4789D"/>
    <w:rsid w:val="00F538F4"/>
    <w:rsid w:val="00F53D2B"/>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20</Pages>
  <Words>5854</Words>
  <Characters>35125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49</cp:revision>
  <cp:lastPrinted>2024-02-13T12:09:00Z</cp:lastPrinted>
  <dcterms:created xsi:type="dcterms:W3CDTF">2024-02-05T07:12:00Z</dcterms:created>
  <dcterms:modified xsi:type="dcterms:W3CDTF">2024-06-18T06:35:00Z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