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72F177A" w14:textId="5C00C05A" w:rsidR="00FB4DD9" w:rsidRPr="00FB4DD9" w:rsidRDefault="00DF5553" w:rsidP="00FB4DD9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2" w:name="_Hlk160622905"/>
      <w:r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„</w:t>
      </w:r>
      <w:r w:rsidRPr="00DF5553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617 od km 2+650 (2+650) do km 8+553 (8+556); od km 19+565 (19+570) do km 20+521 (20+529); od km 23+258 (23+262) do km 23+990 (23+994)</w:t>
      </w:r>
      <w:r w:rsidRPr="00E46A1E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”</w:t>
      </w:r>
    </w:p>
    <w:bookmarkEnd w:id="2"/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3" w:name="_Toc6882152"/>
      <w:bookmarkStart w:id="4" w:name="_Toc6881279"/>
      <w:bookmarkStart w:id="5" w:name="_Toc416830698"/>
      <w:bookmarkStart w:id="6" w:name="_Toc404150096"/>
      <w:bookmarkStart w:id="7" w:name="_Toc28585361"/>
      <w:bookmarkStart w:id="8" w:name="_Toc30484657"/>
      <w:bookmarkStart w:id="9" w:name="_Toc159232840"/>
      <w:bookmarkStart w:id="10" w:name="_Toc159232886"/>
      <w:bookmarkStart w:id="11" w:name="_Toc405615033"/>
      <w:bookmarkStart w:id="12" w:name="_Toc407161181"/>
      <w:r w:rsidRPr="00DD45D0">
        <w:rPr>
          <w:b/>
          <w:caps/>
          <w:kern w:val="28"/>
        </w:rPr>
        <w:t>1. WSTĘP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3" w:name="_Hlk131670415"/>
      <w:bookmarkStart w:id="14" w:name="_Hlk131664037"/>
      <w:r w:rsidR="00C66298">
        <w:t>przy remoncie drogi wojewódzkiej na wyznaczonych jw. odcinkach</w:t>
      </w:r>
      <w:r w:rsidRPr="00DD45D0">
        <w:t>.</w:t>
      </w:r>
    </w:p>
    <w:bookmarkEnd w:id="13"/>
    <w:bookmarkEnd w:id="14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5" w:name="_Hlk131681457"/>
      <w:r w:rsidRPr="00DD45D0">
        <w:t>Specyfikacja techniczna stanowi dokument przetargowy i kontraktowy przy zlecaniu i realizacji ww. zadania.</w:t>
      </w:r>
    </w:p>
    <w:bookmarkEnd w:id="15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1"/>
      <w:bookmarkEnd w:id="12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sytuacyjne i wysokościowe punktów głównych osi trasy i punktów wysokościowych (reperów roboczych dowiązanych do reperów krajowych), z ich </w:t>
      </w:r>
      <w:proofErr w:type="spellStart"/>
      <w:r w:rsidRPr="00DD45D0">
        <w:t>zastabilizowaniem</w:t>
      </w:r>
      <w:proofErr w:type="spellEnd"/>
      <w:r w:rsidRPr="00DD45D0">
        <w:t>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proofErr w:type="spellStart"/>
      <w:r w:rsidRPr="00DD45D0">
        <w:t>zastabilizowanie</w:t>
      </w:r>
      <w:proofErr w:type="spellEnd"/>
      <w:r w:rsidRPr="00DD45D0">
        <w:t xml:space="preserve">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roboczego </w:t>
      </w:r>
      <w:proofErr w:type="spellStart"/>
      <w:r w:rsidRPr="00DD45D0">
        <w:t>pikietażu</w:t>
      </w:r>
      <w:proofErr w:type="spellEnd"/>
      <w:r w:rsidRPr="00DD45D0">
        <w:t xml:space="preserve">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6" w:name="_Toc438609818"/>
      <w:bookmarkStart w:id="17" w:name="_Toc411231967"/>
      <w:bookmarkStart w:id="18" w:name="_Toc428880125"/>
      <w:bookmarkStart w:id="19" w:name="_Toc433636043"/>
      <w:bookmarkStart w:id="20" w:name="_Toc433675534"/>
      <w:bookmarkStart w:id="21" w:name="_Toc434887980"/>
      <w:r w:rsidRPr="00DD45D0">
        <w:rPr>
          <w:rFonts w:cs="Times New Roman"/>
        </w:rPr>
        <w:t>1.4. Określenia podstawowe</w:t>
      </w:r>
      <w:bookmarkEnd w:id="16"/>
      <w:bookmarkEnd w:id="17"/>
      <w:bookmarkEnd w:id="18"/>
      <w:bookmarkEnd w:id="19"/>
      <w:bookmarkEnd w:id="20"/>
      <w:bookmarkEnd w:id="21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2" w:name="_Toc438609822"/>
      <w:bookmarkStart w:id="23" w:name="_Toc166309962"/>
      <w:bookmarkStart w:id="24" w:name="_Toc30484658"/>
      <w:bookmarkStart w:id="25" w:name="_Toc159232841"/>
      <w:bookmarkStart w:id="26" w:name="_Toc159232887"/>
      <w:r w:rsidRPr="00DD45D0">
        <w:rPr>
          <w:rFonts w:cs="Times New Roman"/>
        </w:rPr>
        <w:t>2</w:t>
      </w:r>
      <w:bookmarkStart w:id="27" w:name="_Toc411231970"/>
      <w:bookmarkStart w:id="28" w:name="_Toc428880129"/>
      <w:bookmarkStart w:id="29" w:name="_Toc433636047"/>
      <w:bookmarkStart w:id="30" w:name="_Toc433675538"/>
      <w:bookmarkStart w:id="31" w:name="_Toc434887984"/>
      <w:r w:rsidRPr="00DD45D0">
        <w:rPr>
          <w:rFonts w:cs="Times New Roman"/>
        </w:rPr>
        <w:t>. MATERIAŁY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lastRenderedPageBreak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</w:t>
      </w:r>
      <w:proofErr w:type="spellStart"/>
      <w:r w:rsidRPr="00DD45D0">
        <w:t>pikietażu</w:t>
      </w:r>
      <w:proofErr w:type="spellEnd"/>
      <w:r w:rsidRPr="00DD45D0"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2" w:name="_Toc25373382"/>
      <w:bookmarkStart w:id="33" w:name="_Toc25379398"/>
      <w:bookmarkStart w:id="34" w:name="_Toc38338022"/>
      <w:bookmarkStart w:id="35" w:name="_Toc68660263"/>
      <w:bookmarkStart w:id="36" w:name="_Toc68921158"/>
      <w:bookmarkStart w:id="37" w:name="_Toc68929545"/>
      <w:bookmarkStart w:id="38" w:name="_Toc70745913"/>
      <w:bookmarkStart w:id="39" w:name="_Toc113338099"/>
      <w:bookmarkStart w:id="40" w:name="_Toc124213275"/>
      <w:bookmarkStart w:id="41" w:name="_Toc144694237"/>
      <w:bookmarkStart w:id="42" w:name="_Toc199904821"/>
      <w:bookmarkStart w:id="43" w:name="_Toc204566518"/>
      <w:bookmarkStart w:id="44" w:name="_Toc30484659"/>
      <w:bookmarkStart w:id="45" w:name="_Toc159232842"/>
      <w:bookmarkStart w:id="46" w:name="_Toc159232888"/>
      <w:r w:rsidRPr="00DD45D0">
        <w:rPr>
          <w:rFonts w:cs="Times New Roman"/>
        </w:rPr>
        <w:t xml:space="preserve">3.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DD45D0">
        <w:rPr>
          <w:rFonts w:cs="Times New Roman"/>
        </w:rPr>
        <w:t>SPRZĘT</w:t>
      </w:r>
      <w:bookmarkEnd w:id="44"/>
      <w:bookmarkEnd w:id="45"/>
      <w:bookmarkEnd w:id="46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7" w:name="_Toc33319442"/>
      <w:bookmarkStart w:id="48" w:name="_Toc33320734"/>
      <w:bookmarkStart w:id="49" w:name="_Toc38338023"/>
      <w:bookmarkStart w:id="50" w:name="_Toc68660264"/>
      <w:bookmarkStart w:id="51" w:name="_Toc68921159"/>
      <w:bookmarkStart w:id="52" w:name="_Toc68929546"/>
      <w:bookmarkStart w:id="53" w:name="_Toc70745914"/>
      <w:bookmarkStart w:id="54" w:name="_Toc113338100"/>
      <w:bookmarkStart w:id="55" w:name="_Toc124213276"/>
      <w:bookmarkStart w:id="56" w:name="_Toc144694238"/>
      <w:bookmarkStart w:id="57" w:name="_Toc199904822"/>
      <w:bookmarkStart w:id="58" w:name="_Toc204566519"/>
      <w:bookmarkStart w:id="59" w:name="_Toc30484660"/>
      <w:bookmarkStart w:id="60" w:name="_Toc159232843"/>
      <w:bookmarkStart w:id="61" w:name="_Toc159232889"/>
      <w:r w:rsidRPr="00DD45D0">
        <w:rPr>
          <w:rFonts w:cs="Times New Roman"/>
        </w:rPr>
        <w:t>4. TRANSPORT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2" w:name="_Toc421940500"/>
      <w:bookmarkStart w:id="63" w:name="_Toc18217006"/>
      <w:bookmarkStart w:id="64" w:name="_Toc30219220"/>
      <w:bookmarkStart w:id="65" w:name="_Toc33319443"/>
      <w:bookmarkStart w:id="66" w:name="_Toc33320735"/>
      <w:bookmarkStart w:id="67" w:name="_Toc38338024"/>
      <w:bookmarkStart w:id="68" w:name="_Toc68660265"/>
      <w:bookmarkStart w:id="69" w:name="_Toc68921160"/>
      <w:bookmarkStart w:id="70" w:name="_Toc68929547"/>
      <w:bookmarkStart w:id="71" w:name="_Toc70745915"/>
      <w:bookmarkStart w:id="72" w:name="_Toc113338101"/>
      <w:bookmarkStart w:id="73" w:name="_Toc124213277"/>
      <w:bookmarkStart w:id="74" w:name="_Toc144694239"/>
      <w:bookmarkStart w:id="75" w:name="_Toc199904823"/>
      <w:bookmarkStart w:id="76" w:name="_Toc204566520"/>
      <w:bookmarkStart w:id="77" w:name="_Toc30484661"/>
      <w:bookmarkStart w:id="78" w:name="_Toc159232844"/>
      <w:bookmarkStart w:id="79" w:name="_Toc159232890"/>
      <w:r w:rsidRPr="00DD45D0">
        <w:rPr>
          <w:rFonts w:cs="Times New Roman"/>
        </w:rPr>
        <w:t xml:space="preserve">5. 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DD45D0">
        <w:rPr>
          <w:rFonts w:cs="Times New Roman"/>
        </w:rPr>
        <w:t>WYKONANIE ROBÓT</w:t>
      </w:r>
      <w:bookmarkEnd w:id="77"/>
      <w:bookmarkEnd w:id="78"/>
      <w:bookmarkEnd w:id="79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Prace pomiarowe powinny być wykonane zgodnie z obowiązującymi Instrukcjami i wytycznymi </w:t>
      </w:r>
      <w:proofErr w:type="spellStart"/>
      <w:r w:rsidRPr="00DD45D0">
        <w:t>GUGiK</w:t>
      </w:r>
      <w:proofErr w:type="spellEnd"/>
      <w:r w:rsidRPr="00DD45D0">
        <w:t xml:space="preserve">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lastRenderedPageBreak/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</w:t>
      </w:r>
      <w:proofErr w:type="spellStart"/>
      <w:r w:rsidRPr="00DD45D0">
        <w:t>zastabilizowane</w:t>
      </w:r>
      <w:proofErr w:type="spellEnd"/>
      <w:r w:rsidRPr="00DD45D0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Repery robocze powinny być wyposażone w dodatkowe oznaczenia, zawierające wyraźne i jednoznaczne określenie nazwy </w:t>
      </w:r>
      <w:proofErr w:type="spellStart"/>
      <w:r w:rsidRPr="00DD45D0">
        <w:t>reperu</w:t>
      </w:r>
      <w:proofErr w:type="spellEnd"/>
      <w:r w:rsidRPr="00DD45D0">
        <w:t xml:space="preserve">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utrwalenia osi trasy w terenie należy użyć materiałów wymienionych w </w:t>
      </w:r>
      <w:proofErr w:type="spellStart"/>
      <w:r w:rsidRPr="00DD45D0">
        <w:t>pkcie</w:t>
      </w:r>
      <w:proofErr w:type="spellEnd"/>
      <w:r w:rsidRPr="00DD45D0">
        <w:t>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lastRenderedPageBreak/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 xml:space="preserve">Sposób skompletowania dokumentacji, o której mowa w  </w:t>
      </w:r>
      <w:proofErr w:type="spellStart"/>
      <w:r w:rsidRPr="00DD45D0">
        <w:rPr>
          <w:sz w:val="20"/>
        </w:rPr>
        <w:t>ppkcie</w:t>
      </w:r>
      <w:proofErr w:type="spellEnd"/>
      <w:r w:rsidRPr="00DD45D0">
        <w:rPr>
          <w:sz w:val="20"/>
        </w:rPr>
        <w:t xml:space="preserve">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 xml:space="preserve">Następnie należy pomierzyć wznowioną lub założoną osnowę, a następnie wykonać pomiary inwentaryzacyjne, zgodnie z instrukcją G-4 [8] </w:t>
      </w:r>
      <w:proofErr w:type="spellStart"/>
      <w:r w:rsidRPr="00DD45D0">
        <w:t>GUGiK</w:t>
      </w:r>
      <w:proofErr w:type="spellEnd"/>
      <w:r w:rsidRPr="00DD45D0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80" w:name="_Toc424534470"/>
      <w:bookmarkStart w:id="81" w:name="_Toc46644001"/>
      <w:bookmarkStart w:id="82" w:name="_Toc51995834"/>
      <w:bookmarkStart w:id="83" w:name="_Toc70745916"/>
      <w:bookmarkStart w:id="84" w:name="_Toc113338102"/>
      <w:bookmarkStart w:id="85" w:name="_Toc124213278"/>
      <w:bookmarkStart w:id="86" w:name="_Toc144694240"/>
      <w:bookmarkStart w:id="87" w:name="_Toc144793980"/>
      <w:bookmarkStart w:id="88" w:name="_Toc146429505"/>
      <w:bookmarkStart w:id="89" w:name="_Toc147039497"/>
      <w:bookmarkStart w:id="90" w:name="_Toc161023547"/>
      <w:bookmarkStart w:id="91" w:name="_Toc164048103"/>
      <w:bookmarkStart w:id="92" w:name="_Toc30484662"/>
      <w:bookmarkStart w:id="93" w:name="_Toc159232845"/>
      <w:bookmarkStart w:id="94" w:name="_Toc159232891"/>
      <w:r w:rsidRPr="00DD45D0">
        <w:rPr>
          <w:rFonts w:cs="Times New Roman"/>
        </w:rPr>
        <w:t>6. KONTROLA JAKOŚCI ROBÓT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 xml:space="preserve">przestrzeganie ogólnych zasad prac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 xml:space="preserve">Kontrolę należy prowadzić według ogólnych zasad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5" w:name="_Toc30484663"/>
      <w:bookmarkStart w:id="96" w:name="_Toc159232846"/>
      <w:bookmarkStart w:id="97" w:name="_Toc159232892"/>
      <w:r w:rsidRPr="00DD45D0">
        <w:rPr>
          <w:rFonts w:cs="Times New Roman"/>
        </w:rPr>
        <w:t>7. OBMIAR ROBÓT</w:t>
      </w:r>
      <w:bookmarkEnd w:id="95"/>
      <w:bookmarkEnd w:id="96"/>
      <w:bookmarkEnd w:id="97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8" w:name="_Toc30484664"/>
      <w:bookmarkStart w:id="99" w:name="_Toc159232847"/>
      <w:bookmarkStart w:id="100" w:name="_Toc159232893"/>
      <w:r w:rsidRPr="00DD45D0">
        <w:rPr>
          <w:rFonts w:cs="Times New Roman"/>
        </w:rPr>
        <w:t>8. ODBIÓR ROBÓT</w:t>
      </w:r>
      <w:bookmarkEnd w:id="98"/>
      <w:bookmarkEnd w:id="99"/>
      <w:bookmarkEnd w:id="100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1" w:name="_Toc30484665"/>
      <w:bookmarkStart w:id="102" w:name="_Toc159232848"/>
      <w:bookmarkStart w:id="103" w:name="_Toc159232894"/>
      <w:r w:rsidRPr="00DD45D0">
        <w:rPr>
          <w:rFonts w:cs="Times New Roman"/>
        </w:rPr>
        <w:t>9. PODSTAWA PŁATNOŚCI</w:t>
      </w:r>
      <w:bookmarkEnd w:id="101"/>
      <w:bookmarkEnd w:id="102"/>
      <w:bookmarkEnd w:id="103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 xml:space="preserve">wyznaczenie punktów roboczego </w:t>
      </w:r>
      <w:proofErr w:type="spellStart"/>
      <w:r w:rsidRPr="00DD45D0">
        <w:t>pikietażu</w:t>
      </w:r>
      <w:proofErr w:type="spellEnd"/>
      <w:r w:rsidRPr="00DD45D0">
        <w:t xml:space="preserve">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proofErr w:type="spellStart"/>
      <w:r w:rsidRPr="00DD45D0">
        <w:t>zastabilizowanie</w:t>
      </w:r>
      <w:proofErr w:type="spellEnd"/>
      <w:r w:rsidRPr="00DD45D0">
        <w:t xml:space="preserve">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lastRenderedPageBreak/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4" w:name="_Toc30484666"/>
      <w:bookmarkStart w:id="105" w:name="_Toc159232849"/>
      <w:bookmarkStart w:id="106" w:name="_Toc159232895"/>
      <w:r w:rsidRPr="00DD45D0">
        <w:rPr>
          <w:rFonts w:cs="Times New Roman"/>
        </w:rPr>
        <w:t>10. PRZEPISY ZWIĄZANE</w:t>
      </w:r>
      <w:bookmarkEnd w:id="104"/>
      <w:bookmarkEnd w:id="105"/>
      <w:bookmarkEnd w:id="106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Ustalenia zawarte w niniejszym </w:t>
      </w:r>
      <w:proofErr w:type="spellStart"/>
      <w:r w:rsidRPr="00DD45D0">
        <w:t>opz</w:t>
      </w:r>
      <w:proofErr w:type="spellEnd"/>
      <w:r w:rsidRPr="00DD45D0">
        <w:t xml:space="preserve">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Gotowe wyroby powinny być wolne od spękań, </w:t>
      </w:r>
      <w:proofErr w:type="spellStart"/>
      <w:r w:rsidRPr="00DD45D0">
        <w:t>wykruszeń</w:t>
      </w:r>
      <w:proofErr w:type="spellEnd"/>
      <w:r w:rsidRPr="00DD45D0">
        <w:t xml:space="preserve">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piasek, mieszanka naturalna gruntowa do </w:t>
      </w:r>
      <w:proofErr w:type="spellStart"/>
      <w:r w:rsidRPr="00DD45D0">
        <w:t>obsypki</w:t>
      </w:r>
      <w:proofErr w:type="spellEnd"/>
      <w:r w:rsidRPr="00DD45D0">
        <w:t xml:space="preserve">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lastRenderedPageBreak/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geodezyjnych </w:t>
      </w:r>
      <w:proofErr w:type="spellStart"/>
      <w:r w:rsidRPr="00DD45D0">
        <w:t>graniczników</w:t>
      </w:r>
      <w:proofErr w:type="spellEnd"/>
      <w:r w:rsidRPr="00DD45D0">
        <w:t xml:space="preserve">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</w:t>
      </w:r>
      <w:r w:rsidRPr="00DD45D0">
        <w:lastRenderedPageBreak/>
        <w:t xml:space="preserve">wkopane przy „linii” granicznej- tj. na gruncie zarządcy drogi w pozycji pionowej, zwrócone napisem w kierunku jezdni. Znaki PD należy wkopać w odległości maksymalnie 30 cm od </w:t>
      </w:r>
      <w:proofErr w:type="spellStart"/>
      <w:r w:rsidRPr="00DD45D0">
        <w:t>granicznika</w:t>
      </w:r>
      <w:proofErr w:type="spellEnd"/>
      <w:r w:rsidRPr="00DD45D0">
        <w:t>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</w:t>
      </w:r>
      <w:proofErr w:type="spellStart"/>
      <w:r w:rsidRPr="00DD45D0">
        <w:t>granicznik</w:t>
      </w:r>
      <w:proofErr w:type="spellEnd"/>
      <w:r w:rsidRPr="00DD45D0">
        <w:t xml:space="preserve">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</w:t>
      </w:r>
      <w:proofErr w:type="spellStart"/>
      <w:r w:rsidRPr="00DD45D0">
        <w:t>zastabilizowanych</w:t>
      </w:r>
      <w:proofErr w:type="spellEnd"/>
      <w:r w:rsidRPr="00DD45D0">
        <w:t xml:space="preserve">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wznowionych i </w:t>
      </w:r>
      <w:proofErr w:type="spellStart"/>
      <w:r w:rsidRPr="00DD45D0">
        <w:t>zastablizowanych</w:t>
      </w:r>
      <w:proofErr w:type="spellEnd"/>
      <w:r w:rsidRPr="00DD45D0">
        <w:t xml:space="preserve">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Odbiór </w:t>
      </w:r>
      <w:proofErr w:type="spellStart"/>
      <w:r w:rsidRPr="00DD45D0">
        <w:t>zastabilizowanego</w:t>
      </w:r>
      <w:proofErr w:type="spellEnd"/>
      <w:r w:rsidRPr="00DD45D0">
        <w:t xml:space="preserve">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przekazania wznowionego i </w:t>
      </w:r>
      <w:proofErr w:type="spellStart"/>
      <w:r w:rsidRPr="00DD45D0">
        <w:t>zastabilizowanego</w:t>
      </w:r>
      <w:proofErr w:type="spellEnd"/>
      <w:r w:rsidRPr="00DD45D0">
        <w:t xml:space="preserve">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sprawdzenia w terenie poprawności </w:t>
      </w:r>
      <w:proofErr w:type="spellStart"/>
      <w:r w:rsidRPr="00DD45D0">
        <w:t>zastabilizowanych</w:t>
      </w:r>
      <w:proofErr w:type="spellEnd"/>
      <w:r w:rsidRPr="00DD45D0">
        <w:t xml:space="preserve">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r., Nr 263, </w:t>
      </w:r>
      <w:proofErr w:type="spellStart"/>
      <w:r w:rsidRPr="00DD45D0">
        <w:t>poz</w:t>
      </w:r>
      <w:proofErr w:type="spellEnd"/>
      <w:r w:rsidRPr="00DD45D0">
        <w:t xml:space="preserve">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z </w:t>
      </w:r>
      <w:proofErr w:type="spellStart"/>
      <w:r w:rsidRPr="00DD45D0">
        <w:t>póź</w:t>
      </w:r>
      <w:proofErr w:type="spellEnd"/>
      <w:r w:rsidRPr="00DD45D0">
        <w:t>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CFC2E" w14:textId="77777777" w:rsidR="00536B03" w:rsidRDefault="00536B03" w:rsidP="00DD45D0">
      <w:r>
        <w:separator/>
      </w:r>
    </w:p>
  </w:endnote>
  <w:endnote w:type="continuationSeparator" w:id="0">
    <w:p w14:paraId="22A145C8" w14:textId="77777777" w:rsidR="00536B03" w:rsidRDefault="00536B03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C5F71" w14:textId="77777777" w:rsidR="00536B03" w:rsidRDefault="00536B03" w:rsidP="00DD45D0">
      <w:r>
        <w:separator/>
      </w:r>
    </w:p>
  </w:footnote>
  <w:footnote w:type="continuationSeparator" w:id="0">
    <w:p w14:paraId="059C49E0" w14:textId="77777777" w:rsidR="00536B03" w:rsidRDefault="00536B03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8F13B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F1B56"/>
    <w:rsid w:val="0012047E"/>
    <w:rsid w:val="001E26BA"/>
    <w:rsid w:val="001F7273"/>
    <w:rsid w:val="002A1067"/>
    <w:rsid w:val="003C5575"/>
    <w:rsid w:val="004569C4"/>
    <w:rsid w:val="00536B03"/>
    <w:rsid w:val="005C32BF"/>
    <w:rsid w:val="005F0352"/>
    <w:rsid w:val="005F3809"/>
    <w:rsid w:val="00677206"/>
    <w:rsid w:val="006A6236"/>
    <w:rsid w:val="007F2CBC"/>
    <w:rsid w:val="008750AA"/>
    <w:rsid w:val="008F13BC"/>
    <w:rsid w:val="00A36C67"/>
    <w:rsid w:val="00A53B27"/>
    <w:rsid w:val="00A55DA8"/>
    <w:rsid w:val="00AA09C5"/>
    <w:rsid w:val="00B30CD8"/>
    <w:rsid w:val="00C20ACF"/>
    <w:rsid w:val="00C27A12"/>
    <w:rsid w:val="00C66298"/>
    <w:rsid w:val="00CD55B6"/>
    <w:rsid w:val="00DD45D0"/>
    <w:rsid w:val="00DF5553"/>
    <w:rsid w:val="00E3474D"/>
    <w:rsid w:val="00E46A1E"/>
    <w:rsid w:val="00F55D43"/>
    <w:rsid w:val="00F568C2"/>
    <w:rsid w:val="00FB4DD9"/>
    <w:rsid w:val="00FE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4615</Words>
  <Characters>27691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22</cp:revision>
  <cp:lastPrinted>2024-03-06T11:53:00Z</cp:lastPrinted>
  <dcterms:created xsi:type="dcterms:W3CDTF">2024-02-19T08:46:00Z</dcterms:created>
  <dcterms:modified xsi:type="dcterms:W3CDTF">2025-01-16T13:38:00Z</dcterms:modified>
</cp:coreProperties>
</file>