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54D480DD" w14:textId="33F057A2" w:rsidR="00B03515" w:rsidRPr="00FB4DD9" w:rsidRDefault="006B3C2E" w:rsidP="00B03515">
      <w:pPr>
        <w:spacing w:line="360" w:lineRule="auto"/>
        <w:jc w:val="center"/>
        <w:rPr>
          <w:rFonts w:ascii="Arial" w:hAnsi="Arial" w:cs="Arial"/>
          <w:b/>
          <w:bCs/>
          <w:i/>
          <w:iCs/>
          <w:szCs w:val="24"/>
        </w:rPr>
      </w:pPr>
      <w:r>
        <w:rPr>
          <w:rFonts w:ascii="Arial" w:hAnsi="Arial" w:cs="Arial"/>
          <w:b/>
          <w:bCs/>
          <w:i/>
          <w:iCs/>
          <w:szCs w:val="24"/>
          <w:highlight w:val="lightGray"/>
        </w:rPr>
        <w:t>„</w:t>
      </w:r>
      <w:r w:rsidRPr="00DF5553">
        <w:rPr>
          <w:rFonts w:ascii="Arial" w:hAnsi="Arial" w:cs="Arial"/>
          <w:b/>
          <w:bCs/>
          <w:i/>
          <w:iCs/>
          <w:szCs w:val="24"/>
          <w:highlight w:val="lightGray"/>
        </w:rPr>
        <w:t>Remont drogi wojewódzkiej nr 617 od km 2+650 (2+650) do km 8+553 (8+556); od km 19+565 (19+570) do km 20+521 (20+529); od km 23+258 (23+262) do km 23+990 (23+994)</w:t>
      </w:r>
      <w:r w:rsidRPr="00E46A1E">
        <w:rPr>
          <w:rFonts w:ascii="Arial" w:hAnsi="Arial" w:cs="Arial"/>
          <w:b/>
          <w:bCs/>
          <w:i/>
          <w:iCs/>
          <w:szCs w:val="24"/>
          <w:highlight w:val="lightGray"/>
        </w:rPr>
        <w:t>”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Pr="00477BAC">
          <w:rPr>
            <w:rStyle w:val="Hipercze"/>
            <w:noProof/>
            <w:sz w:val="20"/>
          </w:rPr>
          <w:t>2. Materiały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Pr="00477BAC">
          <w:rPr>
            <w:rStyle w:val="Hipercze"/>
            <w:noProof/>
            <w:sz w:val="20"/>
          </w:rPr>
          <w:t>3. Sprzęt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Pr="00477BAC">
          <w:rPr>
            <w:rStyle w:val="Hipercze"/>
            <w:noProof/>
            <w:sz w:val="20"/>
          </w:rPr>
          <w:t>4. Transport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Pr="00477BAC">
          <w:rPr>
            <w:rStyle w:val="Hipercze"/>
            <w:noProof/>
            <w:sz w:val="20"/>
          </w:rPr>
          <w:t>5. Wykonanie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Pr="00477BAC">
          <w:rPr>
            <w:rStyle w:val="Hipercze"/>
            <w:noProof/>
            <w:sz w:val="20"/>
          </w:rPr>
          <w:t>6. Kontrola jakości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Pr="00477BAC">
          <w:rPr>
            <w:rStyle w:val="Hipercze"/>
            <w:noProof/>
            <w:sz w:val="20"/>
          </w:rPr>
          <w:t>7. Obmiar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Pr="00477BAC">
          <w:rPr>
            <w:rStyle w:val="Hipercze"/>
            <w:noProof/>
            <w:sz w:val="20"/>
          </w:rPr>
          <w:t>8. Odbiór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Pr="00477BAC">
          <w:rPr>
            <w:rStyle w:val="Hipercze"/>
            <w:noProof/>
            <w:sz w:val="20"/>
          </w:rPr>
          <w:t>9. Podstawa płatności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9A78BB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Pr="00477BAC">
          <w:rPr>
            <w:rStyle w:val="Hipercze"/>
            <w:noProof/>
            <w:sz w:val="20"/>
          </w:rPr>
          <w:t>10. Przepisy związane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Skid</w:t>
            </w:r>
            <w:proofErr w:type="spellEnd"/>
            <w:r w:rsidRPr="00477BAC">
              <w:rPr>
                <w:sz w:val="20"/>
              </w:rPr>
              <w:t xml:space="preserve"> </w:t>
            </w:r>
            <w:proofErr w:type="spellStart"/>
            <w:r w:rsidRPr="00477BAC">
              <w:rPr>
                <w:sz w:val="20"/>
              </w:rPr>
              <w:t>Resistance</w:t>
            </w:r>
            <w:proofErr w:type="spellEnd"/>
            <w:r w:rsidRPr="00477BAC">
              <w:rPr>
                <w:sz w:val="20"/>
              </w:rPr>
              <w:t xml:space="preserve">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477BAC">
        <w:rPr>
          <w:sz w:val="20"/>
        </w:rPr>
        <w:t>oznakowań</w:t>
      </w:r>
      <w:proofErr w:type="spellEnd"/>
      <w:r w:rsidR="00904AD4" w:rsidRPr="00477BAC">
        <w:rPr>
          <w:sz w:val="20"/>
        </w:rPr>
        <w:t xml:space="preserve">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 xml:space="preserve">Oznakowanie pomocnicze – </w:t>
      </w:r>
      <w:proofErr w:type="spellStart"/>
      <w:r w:rsidRPr="00477BAC">
        <w:rPr>
          <w:bCs/>
          <w:sz w:val="20"/>
        </w:rPr>
        <w:t>przedznakowanie</w:t>
      </w:r>
      <w:proofErr w:type="spellEnd"/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 xml:space="preserve">następnie rozprowadza ręcznie, mechanicznie </w:t>
      </w:r>
      <w:proofErr w:type="spellStart"/>
      <w:r w:rsidRPr="00477BAC">
        <w:rPr>
          <w:bCs/>
          <w:sz w:val="20"/>
        </w:rPr>
        <w:t>ekstruderem</w:t>
      </w:r>
      <w:proofErr w:type="spellEnd"/>
      <w:r w:rsidRPr="00477BAC">
        <w:rPr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 xml:space="preserve">(odblaski </w:t>
      </w:r>
      <w:proofErr w:type="spellStart"/>
      <w:r w:rsidR="00701E82" w:rsidRPr="00477BAC">
        <w:rPr>
          <w:sz w:val="20"/>
        </w:rPr>
        <w:t>najezdniowe</w:t>
      </w:r>
      <w:proofErr w:type="spellEnd"/>
      <w:r w:rsidR="00701E82" w:rsidRPr="00477BAC">
        <w:rPr>
          <w:sz w:val="20"/>
        </w:rPr>
        <w:t>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 xml:space="preserve">Materiał </w:t>
      </w:r>
      <w:proofErr w:type="spellStart"/>
      <w:r w:rsidR="00701E82" w:rsidRPr="00477BAC">
        <w:rPr>
          <w:sz w:val="20"/>
        </w:rPr>
        <w:t>uszorstniający</w:t>
      </w:r>
      <w:proofErr w:type="spellEnd"/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proofErr w:type="spellStart"/>
      <w:r w:rsidR="00256850" w:rsidRPr="00477BAC">
        <w:rPr>
          <w:sz w:val="20"/>
        </w:rPr>
        <w:t>IBDiM</w:t>
      </w:r>
      <w:proofErr w:type="spellEnd"/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proofErr w:type="spellStart"/>
      <w:r w:rsidR="00C70B45" w:rsidRPr="00477BAC">
        <w:rPr>
          <w:sz w:val="20"/>
        </w:rPr>
        <w:t>późn</w:t>
      </w:r>
      <w:proofErr w:type="spellEnd"/>
      <w:r w:rsidR="00C70B45" w:rsidRPr="00477BAC">
        <w:rPr>
          <w:sz w:val="20"/>
        </w:rPr>
        <w:t xml:space="preserve">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 xml:space="preserve">wyrób, którego dotyczy Aprobata Techniczna </w:t>
      </w:r>
      <w:proofErr w:type="spellStart"/>
      <w:r w:rsidR="00C70B45" w:rsidRPr="00477BAC">
        <w:rPr>
          <w:sz w:val="20"/>
        </w:rPr>
        <w:t>IBDiM</w:t>
      </w:r>
      <w:proofErr w:type="spellEnd"/>
      <w:r w:rsidR="00C70B45" w:rsidRPr="00477BAC">
        <w:rPr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 xml:space="preserve">Powyższe zasady należy stosować także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</w:t>
      </w:r>
      <w:proofErr w:type="spellStart"/>
      <w:r w:rsidR="00D64A1C" w:rsidRPr="00477BAC">
        <w:rPr>
          <w:sz w:val="20"/>
        </w:rPr>
        <w:t>IBDiM</w:t>
      </w:r>
      <w:proofErr w:type="spellEnd"/>
      <w:r w:rsidR="00D64A1C" w:rsidRPr="00477BAC">
        <w:rPr>
          <w:sz w:val="20"/>
        </w:rPr>
        <w:t xml:space="preserve">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 xml:space="preserve">(Dz. U. Nr 198, poz. 2041 z </w:t>
      </w:r>
      <w:proofErr w:type="spellStart"/>
      <w:r w:rsidR="00697921" w:rsidRPr="00477BAC">
        <w:rPr>
          <w:sz w:val="20"/>
        </w:rPr>
        <w:t>późn</w:t>
      </w:r>
      <w:proofErr w:type="spellEnd"/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</w:t>
      </w:r>
      <w:proofErr w:type="spellStart"/>
      <w:r w:rsidR="005552C4" w:rsidRPr="00477BAC">
        <w:rPr>
          <w:sz w:val="20"/>
        </w:rPr>
        <w:t>IBDiM</w:t>
      </w:r>
      <w:proofErr w:type="spellEnd"/>
      <w:r w:rsidR="005552C4" w:rsidRPr="00477BAC">
        <w:rPr>
          <w:sz w:val="20"/>
        </w:rPr>
        <w:t xml:space="preserve">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proofErr w:type="spellStart"/>
            <w:r w:rsidRPr="00477BAC">
              <w:rPr>
                <w:sz w:val="20"/>
              </w:rPr>
              <w:t>μm</w:t>
            </w:r>
            <w:proofErr w:type="spellEnd"/>
            <w:r w:rsidRPr="00477BAC">
              <w:rPr>
                <w:sz w:val="20"/>
              </w:rPr>
              <w:t xml:space="preserve">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proofErr w:type="spellStart"/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</w:t>
            </w:r>
            <w:proofErr w:type="spellEnd"/>
            <w:r w:rsidRPr="00477BAC">
              <w:rPr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Współczynnik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luminancji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czerwona</w:t>
            </w:r>
            <w:proofErr w:type="spellEnd"/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niebieska</w:t>
            </w:r>
            <w:proofErr w:type="spellEnd"/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zielona</w:t>
            </w:r>
            <w:proofErr w:type="spellEnd"/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477BAC">
              <w:rPr>
                <w:sz w:val="20"/>
              </w:rPr>
              <w:t>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</w:t>
            </w:r>
            <w:proofErr w:type="spellEnd"/>
            <w:r w:rsidRPr="00477BAC">
              <w:rPr>
                <w:sz w:val="20"/>
              </w:rPr>
              <w:t xml:space="preserve">, </w:t>
            </w:r>
            <w:proofErr w:type="spellStart"/>
            <w:r w:rsidRPr="00477BAC">
              <w:rPr>
                <w:sz w:val="20"/>
              </w:rPr>
              <w:t>uszorstnienia</w:t>
            </w:r>
            <w:proofErr w:type="spellEnd"/>
            <w:r w:rsidRPr="00477BAC">
              <w:rPr>
                <w:sz w:val="20"/>
              </w:rPr>
              <w:t xml:space="preserve">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liczba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 xml:space="preserve">arkuszach do wtapiania oraz naklejane taśmy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</w:t>
      </w:r>
      <w:proofErr w:type="spellStart"/>
      <w:r w:rsidR="00AE023E" w:rsidRPr="00477BAC">
        <w:rPr>
          <w:sz w:val="20"/>
        </w:rPr>
        <w:t>oznakowań</w:t>
      </w:r>
      <w:proofErr w:type="spellEnd"/>
      <w:r w:rsidR="00AE023E" w:rsidRPr="00477BAC">
        <w:rPr>
          <w:sz w:val="20"/>
        </w:rPr>
        <w:t xml:space="preserve">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477BAC">
        <w:rPr>
          <w:sz w:val="20"/>
        </w:rPr>
        <w:t>uszorstniających</w:t>
      </w:r>
      <w:proofErr w:type="spellEnd"/>
      <w:r w:rsidRPr="00477BAC">
        <w:rPr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477BAC">
        <w:rPr>
          <w:i/>
          <w:sz w:val="20"/>
        </w:rPr>
        <w:t>overlay</w:t>
      </w:r>
      <w:proofErr w:type="spellEnd"/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proofErr w:type="spellStart"/>
      <w:r w:rsidRPr="00477BAC">
        <w:rPr>
          <w:i/>
          <w:sz w:val="20"/>
        </w:rPr>
        <w:t>primera</w:t>
      </w:r>
      <w:proofErr w:type="spellEnd"/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477BAC">
        <w:rPr>
          <w:i/>
          <w:sz w:val="20"/>
        </w:rPr>
        <w:t>inlay</w:t>
      </w:r>
      <w:proofErr w:type="spellEnd"/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 xml:space="preserve">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stałych stosowane są białe taśmy gładkie i profilowane, a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477BAC">
        <w:rPr>
          <w:sz w:val="20"/>
        </w:rPr>
        <w:t>mikropryzmatyczne</w:t>
      </w:r>
      <w:proofErr w:type="spellEnd"/>
      <w:r w:rsidR="00F70963" w:rsidRPr="00477BAC">
        <w:rPr>
          <w:sz w:val="20"/>
        </w:rPr>
        <w:t xml:space="preserve"> płytki z polimetakrylanu metylu i folie odblaskowe </w:t>
      </w:r>
      <w:proofErr w:type="spellStart"/>
      <w:r w:rsidR="00F70963" w:rsidRPr="00477BAC">
        <w:rPr>
          <w:sz w:val="20"/>
        </w:rPr>
        <w:t>mikropryzmatyczne</w:t>
      </w:r>
      <w:proofErr w:type="spellEnd"/>
      <w:r w:rsidR="00F70963" w:rsidRPr="00477BAC">
        <w:rPr>
          <w:sz w:val="20"/>
        </w:rPr>
        <w:t xml:space="preserve">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 xml:space="preserve">kolorze żółtym mogą być stosowane do </w:t>
      </w:r>
      <w:proofErr w:type="spellStart"/>
      <w:r w:rsidR="00F70963" w:rsidRPr="00477BAC">
        <w:rPr>
          <w:sz w:val="20"/>
        </w:rPr>
        <w:t>oznakowań</w:t>
      </w:r>
      <w:proofErr w:type="spellEnd"/>
      <w:r w:rsidR="00F70963" w:rsidRPr="00477BAC">
        <w:rPr>
          <w:sz w:val="20"/>
        </w:rPr>
        <w:t xml:space="preserve">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</w:t>
      </w:r>
      <w:proofErr w:type="spellStart"/>
      <w:r w:rsidR="009D7AAB" w:rsidRPr="00477BAC">
        <w:rPr>
          <w:sz w:val="20"/>
        </w:rPr>
        <w:t>współdrożnego</w:t>
      </w:r>
      <w:proofErr w:type="spellEnd"/>
      <w:r w:rsidR="009D7AAB" w:rsidRPr="00477BAC">
        <w:rPr>
          <w:sz w:val="20"/>
        </w:rPr>
        <w:t xml:space="preserve">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 xml:space="preserve">Klasa PRP 1- Minimalne wartości współczynnika odbicia </w:t>
      </w:r>
      <w:proofErr w:type="spellStart"/>
      <w:r w:rsidRPr="00477BAC">
        <w:rPr>
          <w:sz w:val="20"/>
        </w:rPr>
        <w:t>współdrożnego</w:t>
      </w:r>
      <w:proofErr w:type="spellEnd"/>
      <w:r w:rsidRPr="00477BAC">
        <w:rPr>
          <w:sz w:val="20"/>
        </w:rPr>
        <w:t xml:space="preserve">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477BAC">
        <w:rPr>
          <w:sz w:val="20"/>
        </w:rPr>
        <w:t>azyli</w:t>
      </w:r>
      <w:proofErr w:type="spellEnd"/>
      <w:r w:rsidR="007B09BC" w:rsidRPr="00477BAC">
        <w:rPr>
          <w:sz w:val="20"/>
        </w:rPr>
        <w:t xml:space="preserve">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 xml:space="preserve">C co najmniej siłą 60 </w:t>
      </w:r>
      <w:proofErr w:type="spellStart"/>
      <w:r w:rsidR="009C59E0" w:rsidRPr="00477BAC">
        <w:rPr>
          <w:sz w:val="20"/>
        </w:rPr>
        <w:t>kN</w:t>
      </w:r>
      <w:proofErr w:type="spellEnd"/>
      <w:r w:rsidR="009C59E0" w:rsidRPr="00477BAC">
        <w:rPr>
          <w:sz w:val="20"/>
        </w:rPr>
        <w:t xml:space="preserve">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 xml:space="preserve">Materiał </w:t>
      </w:r>
      <w:proofErr w:type="spellStart"/>
      <w:r w:rsidR="00A87CDE" w:rsidRPr="00477BAC">
        <w:rPr>
          <w:sz w:val="20"/>
        </w:rPr>
        <w:t>uszorstniający</w:t>
      </w:r>
      <w:proofErr w:type="spellEnd"/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sz w:val="20"/>
        </w:rPr>
        <w:t xml:space="preserve">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</w:t>
      </w:r>
      <w:proofErr w:type="spellStart"/>
      <w:r w:rsidR="002802F6" w:rsidRPr="00477BAC">
        <w:rPr>
          <w:sz w:val="20"/>
        </w:rPr>
        <w:t>uszorstniającego</w:t>
      </w:r>
      <w:proofErr w:type="spellEnd"/>
      <w:r w:rsidR="002802F6" w:rsidRPr="00477BAC">
        <w:rPr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proofErr w:type="spellStart"/>
      <w:r w:rsidR="00DF4198" w:rsidRPr="00477BAC">
        <w:rPr>
          <w:sz w:val="20"/>
        </w:rPr>
        <w:t>uszorstniający</w:t>
      </w:r>
      <w:proofErr w:type="spellEnd"/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sz w:val="20"/>
        </w:rPr>
        <w:t xml:space="preserve"> (kruszywo przeciwpoślizgowe) oraz mieszanina kulek szklanych z materiałem </w:t>
      </w:r>
      <w:proofErr w:type="spellStart"/>
      <w:r w:rsidR="002802F6" w:rsidRPr="00477BAC">
        <w:rPr>
          <w:sz w:val="20"/>
        </w:rPr>
        <w:t>uszorstniającym</w:t>
      </w:r>
      <w:proofErr w:type="spellEnd"/>
      <w:r w:rsidR="002802F6" w:rsidRPr="00477BAC">
        <w:rPr>
          <w:sz w:val="20"/>
        </w:rPr>
        <w:t xml:space="preserve">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proofErr w:type="spellStart"/>
            <w:r w:rsidRPr="00477BAC">
              <w:rPr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malowarek</w:t>
      </w:r>
      <w:proofErr w:type="spellEnd"/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wyklejarek</w:t>
      </w:r>
      <w:proofErr w:type="spellEnd"/>
      <w:r w:rsidRPr="00477BAC">
        <w:rPr>
          <w:sz w:val="20"/>
        </w:rPr>
        <w:t xml:space="preserve">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</w:t>
      </w:r>
      <w:proofErr w:type="spellStart"/>
      <w:r w:rsidRPr="00477BAC">
        <w:rPr>
          <w:sz w:val="20"/>
        </w:rPr>
        <w:t>przedznakowania</w:t>
      </w:r>
      <w:proofErr w:type="spellEnd"/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Wykonawca powinien zapewnić odpowiednią jakość, ilość i wydajność </w:t>
      </w: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powie-</w:t>
            </w:r>
            <w:proofErr w:type="spellStart"/>
            <w:r w:rsidRPr="00477BAC">
              <w:rPr>
                <w:sz w:val="20"/>
              </w:rPr>
              <w:t>trza</w:t>
            </w:r>
            <w:proofErr w:type="spellEnd"/>
            <w:r w:rsidRPr="00477BAC">
              <w:rPr>
                <w:sz w:val="20"/>
              </w:rPr>
              <w:t xml:space="preserve">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 xml:space="preserve">Oznakowanie pomocnicze - </w:t>
      </w:r>
      <w:proofErr w:type="spellStart"/>
      <w:r w:rsidR="00A05216" w:rsidRPr="00477BAC">
        <w:rPr>
          <w:sz w:val="20"/>
        </w:rPr>
        <w:t>p</w:t>
      </w:r>
      <w:r w:rsidRPr="00477BAC">
        <w:rPr>
          <w:sz w:val="20"/>
        </w:rPr>
        <w:t>rzedznakowanie</w:t>
      </w:r>
      <w:proofErr w:type="spellEnd"/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</w:t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>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wykonania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 xml:space="preserve">W przypadku odnawiania oznakowania drogi, gdy stare oznakowanie jest wystarczająco czytelne i zgodne z dokumentacją projektową, można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Wykonane </w:t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 xml:space="preserve">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 xml:space="preserve">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>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</w:t>
      </w: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</w:t>
      </w:r>
      <w:proofErr w:type="spellStart"/>
      <w:r w:rsidRPr="00477BAC">
        <w:rPr>
          <w:sz w:val="20"/>
        </w:rPr>
        <w:t>uszorstniającym</w:t>
      </w:r>
      <w:proofErr w:type="spellEnd"/>
      <w:r w:rsidRPr="00477BAC">
        <w:rPr>
          <w:sz w:val="20"/>
        </w:rPr>
        <w:t xml:space="preserve">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</w:t>
      </w:r>
      <w:proofErr w:type="spellStart"/>
      <w:r w:rsidRPr="00477BAC">
        <w:rPr>
          <w:sz w:val="20"/>
        </w:rPr>
        <w:t>uszorstniającym</w:t>
      </w:r>
      <w:proofErr w:type="spellEnd"/>
      <w:r w:rsidRPr="00477BAC">
        <w:rPr>
          <w:sz w:val="20"/>
        </w:rPr>
        <w:t>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477BAC">
        <w:rPr>
          <w:sz w:val="20"/>
        </w:rPr>
        <w:t>waterblasting</w:t>
      </w:r>
      <w:proofErr w:type="spellEnd"/>
      <w:r w:rsidR="002802F6" w:rsidRPr="00477BAC">
        <w:rPr>
          <w:sz w:val="20"/>
        </w:rPr>
        <w:t>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proofErr w:type="spellStart"/>
      <w:r w:rsidR="002802F6" w:rsidRPr="00477BAC">
        <w:rPr>
          <w:sz w:val="20"/>
        </w:rPr>
        <w:t>uszorstnić</w:t>
      </w:r>
      <w:proofErr w:type="spellEnd"/>
      <w:r w:rsidR="002802F6" w:rsidRPr="00477BAC">
        <w:rPr>
          <w:sz w:val="20"/>
        </w:rPr>
        <w:t xml:space="preserve">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477BAC">
        <w:rPr>
          <w:sz w:val="20"/>
        </w:rPr>
        <w:t>primer</w:t>
      </w:r>
      <w:proofErr w:type="spellEnd"/>
      <w:r w:rsidR="002802F6" w:rsidRPr="00477BAC">
        <w:rPr>
          <w:sz w:val="20"/>
        </w:rPr>
        <w:t>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</w:t>
      </w:r>
      <w:proofErr w:type="spellStart"/>
      <w:r w:rsidRPr="00477BAC">
        <w:rPr>
          <w:sz w:val="20"/>
        </w:rPr>
        <w:t>primer</w:t>
      </w:r>
      <w:proofErr w:type="spellEnd"/>
      <w:r w:rsidRPr="00477BAC">
        <w:rPr>
          <w:sz w:val="20"/>
        </w:rPr>
        <w:t>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</w:t>
      </w:r>
      <w:proofErr w:type="spellStart"/>
      <w:r w:rsidRPr="00477BAC">
        <w:rPr>
          <w:sz w:val="20"/>
        </w:rPr>
        <w:t>waterblasting</w:t>
      </w:r>
      <w:proofErr w:type="spellEnd"/>
      <w:r w:rsidRPr="00477BAC">
        <w:rPr>
          <w:sz w:val="20"/>
        </w:rPr>
        <w:t>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477BAC">
        <w:rPr>
          <w:sz w:val="20"/>
        </w:rPr>
        <w:t>sprayplast</w:t>
      </w:r>
      <w:proofErr w:type="spellEnd"/>
      <w:r w:rsidRPr="00477BAC">
        <w:rPr>
          <w:sz w:val="20"/>
        </w:rPr>
        <w:t>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 xml:space="preserve">. Badanie przygotowania podłoża i </w:t>
      </w:r>
      <w:proofErr w:type="spellStart"/>
      <w:r w:rsidRPr="00477BAC">
        <w:rPr>
          <w:sz w:val="20"/>
        </w:rPr>
        <w:t>przedznakowania</w:t>
      </w:r>
      <w:proofErr w:type="spellEnd"/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 xml:space="preserve">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477BAC">
        <w:rPr>
          <w:spacing w:val="-3"/>
          <w:sz w:val="20"/>
        </w:rPr>
        <w:t>Qd</w:t>
      </w:r>
      <w:proofErr w:type="spellEnd"/>
      <w:r w:rsidRPr="00477BAC">
        <w:rPr>
          <w:spacing w:val="-3"/>
          <w:sz w:val="20"/>
        </w:rPr>
        <w:t xml:space="preserve">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Barwa żółta dotyczy tylko </w:t>
      </w:r>
      <w:proofErr w:type="spellStart"/>
      <w:r w:rsidRPr="00477BAC">
        <w:rPr>
          <w:spacing w:val="-3"/>
          <w:sz w:val="20"/>
        </w:rPr>
        <w:t>oznakowań</w:t>
      </w:r>
      <w:proofErr w:type="spellEnd"/>
      <w:r w:rsidRPr="00477BAC">
        <w:rPr>
          <w:spacing w:val="-3"/>
          <w:sz w:val="20"/>
        </w:rPr>
        <w:t xml:space="preserve"> tymczasowych, które także powinny być kontrolowane. Inne barwy </w:t>
      </w:r>
      <w:proofErr w:type="spellStart"/>
      <w:r w:rsidRPr="00477BAC">
        <w:rPr>
          <w:spacing w:val="-3"/>
          <w:sz w:val="20"/>
        </w:rPr>
        <w:t>oznakowań</w:t>
      </w:r>
      <w:proofErr w:type="spellEnd"/>
      <w:r w:rsidRPr="00477BAC">
        <w:rPr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 xml:space="preserve">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>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</w:t>
      </w:r>
      <w:proofErr w:type="spellStart"/>
      <w:r w:rsidR="00A17AE3" w:rsidRPr="00477BAC">
        <w:rPr>
          <w:sz w:val="20"/>
        </w:rPr>
        <w:t>oznakowań</w:t>
      </w:r>
      <w:proofErr w:type="spellEnd"/>
      <w:r w:rsidR="00A17AE3" w:rsidRPr="00477BAC">
        <w:rPr>
          <w:sz w:val="20"/>
        </w:rPr>
        <w:t xml:space="preserve">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477BAC">
        <w:rPr>
          <w:sz w:val="20"/>
        </w:rPr>
        <w:t>Q</w:t>
      </w:r>
      <w:r w:rsidR="00842AEB" w:rsidRPr="00477BAC">
        <w:rPr>
          <w:sz w:val="20"/>
        </w:rPr>
        <w:t>d</w:t>
      </w:r>
      <w:proofErr w:type="spellEnd"/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 xml:space="preserve">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. Klasy poziomych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 (w stanie suchym) ze względu na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Minimalna wartość współczynnika luminancji w świetle </w:t>
            </w:r>
            <w:proofErr w:type="spellStart"/>
            <w:r w:rsidRPr="00477BAC">
              <w:rPr>
                <w:sz w:val="20"/>
              </w:rPr>
              <w:t>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>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Współrzędne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chromatyczności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wg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rys</w:t>
            </w:r>
            <w:proofErr w:type="spellEnd"/>
            <w:r w:rsidRPr="00477BAC">
              <w:rPr>
                <w:sz w:val="20"/>
                <w:lang w:val="en-GB"/>
              </w:rPr>
              <w:t xml:space="preserve">. </w:t>
            </w:r>
            <w:r w:rsidR="009A43CA" w:rsidRPr="00477BAC">
              <w:rPr>
                <w:sz w:val="20"/>
                <w:lang w:val="en-GB"/>
              </w:rPr>
              <w:t xml:space="preserve">1,2 </w:t>
            </w:r>
            <w:proofErr w:type="spellStart"/>
            <w:r w:rsidR="009A43CA" w:rsidRPr="00477BAC">
              <w:rPr>
                <w:sz w:val="20"/>
                <w:lang w:val="en-GB"/>
              </w:rPr>
              <w:t>i</w:t>
            </w:r>
            <w:proofErr w:type="spellEnd"/>
            <w:r w:rsidR="009A43CA" w:rsidRPr="00477BAC">
              <w:rPr>
                <w:sz w:val="20"/>
                <w:lang w:val="en-GB"/>
              </w:rPr>
              <w:t xml:space="preserve">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. Punkty narożne obszarów chromatyczności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 xml:space="preserve">Rys. 1. Współrzędne chromatyczności </w:t>
      </w:r>
      <w:proofErr w:type="spellStart"/>
      <w:r w:rsidRPr="00477BAC">
        <w:rPr>
          <w:sz w:val="20"/>
        </w:rPr>
        <w:t>x,y</w:t>
      </w:r>
      <w:proofErr w:type="spellEnd"/>
      <w:r w:rsidRPr="00477BAC">
        <w:rPr>
          <w:sz w:val="20"/>
        </w:rPr>
        <w:t xml:space="preserve">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Rys.2. Współrzędne chromatyczności </w:t>
      </w:r>
      <w:proofErr w:type="spellStart"/>
      <w:r w:rsidRPr="00477BAC">
        <w:rPr>
          <w:sz w:val="20"/>
        </w:rPr>
        <w:t>x,y</w:t>
      </w:r>
      <w:proofErr w:type="spellEnd"/>
      <w:r w:rsidRPr="00477BAC">
        <w:rPr>
          <w:sz w:val="20"/>
        </w:rPr>
        <w:t xml:space="preserve">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lastRenderedPageBreak/>
              <w:t>Warunki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</w:t>
            </w:r>
            <w:proofErr w:type="spellStart"/>
            <w:r w:rsidRPr="00477BAC">
              <w:rPr>
                <w:sz w:val="20"/>
              </w:rPr>
              <w:t>współczyn-nika</w:t>
            </w:r>
            <w:proofErr w:type="spellEnd"/>
            <w:r w:rsidRPr="00477BAC">
              <w:rPr>
                <w:sz w:val="20"/>
              </w:rPr>
              <w:t xml:space="preserve">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 xml:space="preserve">Wymagania eksploatacyjne dotyczące współczynnika odblasku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Wyma</w:t>
            </w:r>
            <w:proofErr w:type="spellEnd"/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477BAC">
        <w:rPr>
          <w:sz w:val="20"/>
        </w:rPr>
        <w:t>wygarbień</w:t>
      </w:r>
      <w:proofErr w:type="spellEnd"/>
      <w:r w:rsidRPr="00477BAC">
        <w:rPr>
          <w:sz w:val="20"/>
        </w:rPr>
        <w:t xml:space="preserve">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</w:t>
      </w:r>
      <w:proofErr w:type="spellStart"/>
      <w:r w:rsidR="000125AE" w:rsidRPr="00477BAC">
        <w:rPr>
          <w:sz w:val="20"/>
        </w:rPr>
        <w:t>Multi</w:t>
      </w:r>
      <w:r w:rsidR="00137B45" w:rsidRPr="00477BAC">
        <w:rPr>
          <w:sz w:val="20"/>
        </w:rPr>
        <w:t>DotLine</w:t>
      </w:r>
      <w:proofErr w:type="spellEnd"/>
      <w:r w:rsidR="00137B45" w:rsidRPr="00477BAC">
        <w:rPr>
          <w:sz w:val="20"/>
        </w:rPr>
        <w:t xml:space="preserve">, </w:t>
      </w:r>
      <w:proofErr w:type="spellStart"/>
      <w:r w:rsidR="00137B45" w:rsidRPr="00477BAC">
        <w:rPr>
          <w:sz w:val="20"/>
        </w:rPr>
        <w:t>Spotflex</w:t>
      </w:r>
      <w:proofErr w:type="spellEnd"/>
      <w:r w:rsidR="002E6047" w:rsidRPr="00477BAC">
        <w:rPr>
          <w:sz w:val="20"/>
        </w:rPr>
        <w:t xml:space="preserve">, </w:t>
      </w:r>
      <w:proofErr w:type="spellStart"/>
      <w:r w:rsidR="002E6047" w:rsidRPr="00477BAC">
        <w:rPr>
          <w:sz w:val="20"/>
        </w:rPr>
        <w:t>Stamark</w:t>
      </w:r>
      <w:proofErr w:type="spellEnd"/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na oznakowaniu ciągłym z naniesionymi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 xml:space="preserve">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477BAC">
        <w:rPr>
          <w:sz w:val="20"/>
        </w:rPr>
        <w:t>oznakowaniach</w:t>
      </w:r>
      <w:proofErr w:type="spellEnd"/>
      <w:r w:rsidRPr="00477BAC">
        <w:rPr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</w:t>
      </w:r>
      <w:proofErr w:type="spellStart"/>
      <w:r w:rsidRPr="00477BAC">
        <w:rPr>
          <w:sz w:val="20"/>
        </w:rPr>
        <w:t>Skid</w:t>
      </w:r>
      <w:proofErr w:type="spellEnd"/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Resistance</w:t>
      </w:r>
      <w:proofErr w:type="spellEnd"/>
      <w:r w:rsidRPr="00477BAC">
        <w:rPr>
          <w:sz w:val="20"/>
        </w:rPr>
        <w:t xml:space="preserve">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wartość SRT = 45 jest warunkowa w przypadku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wskaźnika szorstkości SRT dotyczy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 xml:space="preserve">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</w:t>
      </w:r>
      <w:proofErr w:type="spellStart"/>
      <w:r w:rsidRPr="00477BAC">
        <w:rPr>
          <w:sz w:val="20"/>
        </w:rPr>
        <w:t>wymalowań</w:t>
      </w:r>
      <w:proofErr w:type="spellEnd"/>
      <w:r w:rsidRPr="00477BAC">
        <w:rPr>
          <w:sz w:val="20"/>
        </w:rPr>
        <w:t xml:space="preserve">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Grubość wykonanych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 xml:space="preserve">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km/h , a także na liniach podłużnych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z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>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 xml:space="preserve">Zbiorcze zestawienie wymagań dla materiałów i </w:t>
      </w:r>
      <w:proofErr w:type="spellStart"/>
      <w:r w:rsidRPr="00477BAC">
        <w:rPr>
          <w:sz w:val="20"/>
        </w:rPr>
        <w:t>oznakowań</w:t>
      </w:r>
      <w:proofErr w:type="spellEnd"/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</w:t>
            </w:r>
            <w:proofErr w:type="spellStart"/>
            <w:r w:rsidRPr="00477BAC">
              <w:rPr>
                <w:sz w:val="20"/>
              </w:rPr>
              <w:t>eksploa-towanego</w:t>
            </w:r>
            <w:proofErr w:type="spellEnd"/>
            <w:r w:rsidRPr="00477BAC">
              <w:rPr>
                <w:sz w:val="20"/>
              </w:rPr>
              <w:t xml:space="preserve">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</w:t>
      </w:r>
      <w:proofErr w:type="spellStart"/>
      <w:r w:rsidR="002802F6" w:rsidRPr="00477BAC">
        <w:rPr>
          <w:sz w:val="20"/>
        </w:rPr>
        <w:t>oznakowań</w:t>
      </w:r>
      <w:proofErr w:type="spellEnd"/>
      <w:r w:rsidR="002802F6" w:rsidRPr="00477BAC">
        <w:rPr>
          <w:sz w:val="20"/>
        </w:rPr>
        <w:t xml:space="preserve">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Trwałość oznakowania </w:t>
            </w:r>
            <w:proofErr w:type="spellStart"/>
            <w:r w:rsidRPr="00477BAC">
              <w:rPr>
                <w:sz w:val="20"/>
              </w:rPr>
              <w:t>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</w:t>
            </w:r>
            <w:proofErr w:type="spellEnd"/>
            <w:r w:rsidRPr="00477BAC">
              <w:rPr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 xml:space="preserve">. Odstępstwa wymiarowe poziomych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</w:t>
      </w:r>
      <w:proofErr w:type="spellStart"/>
      <w:r w:rsidR="00473FB8" w:rsidRPr="00477BAC">
        <w:rPr>
          <w:sz w:val="20"/>
        </w:rPr>
        <w:t>oznakowań</w:t>
      </w:r>
      <w:proofErr w:type="spellEnd"/>
      <w:r w:rsidR="00473FB8" w:rsidRPr="00477BAC">
        <w:rPr>
          <w:sz w:val="20"/>
        </w:rPr>
        <w:t xml:space="preserve">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przedznakowaniu</w:t>
      </w:r>
      <w:proofErr w:type="spellEnd"/>
      <w:r w:rsidRPr="00477BAC">
        <w:rPr>
          <w:sz w:val="20"/>
        </w:rPr>
        <w:t>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</w:t>
      </w:r>
      <w:proofErr w:type="spellStart"/>
      <w:r w:rsidRPr="00477BAC">
        <w:rPr>
          <w:sz w:val="20"/>
        </w:rPr>
        <w:t>primera</w:t>
      </w:r>
      <w:proofErr w:type="spellEnd"/>
      <w:r w:rsidRPr="00477BAC">
        <w:rPr>
          <w:sz w:val="20"/>
        </w:rPr>
        <w:t>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>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dla </w:t>
      </w:r>
      <w:proofErr w:type="spellStart"/>
      <w:r w:rsidRPr="00477BAC">
        <w:rPr>
          <w:sz w:val="20"/>
        </w:rPr>
        <w:t>wymalowań</w:t>
      </w:r>
      <w:proofErr w:type="spellEnd"/>
      <w:r w:rsidRPr="00477BAC">
        <w:rPr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>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</w:t>
            </w:r>
            <w:proofErr w:type="spellStart"/>
            <w:r w:rsidRPr="00477BAC">
              <w:rPr>
                <w:sz w:val="20"/>
              </w:rPr>
              <w:t>oznakowań</w:t>
            </w:r>
            <w:proofErr w:type="spellEnd"/>
            <w:r w:rsidRPr="00477BAC">
              <w:rPr>
                <w:sz w:val="20"/>
              </w:rPr>
              <w:t xml:space="preserve">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</w:t>
      </w:r>
      <w:proofErr w:type="spellStart"/>
      <w:r w:rsidR="004E036B" w:rsidRPr="00477BAC">
        <w:rPr>
          <w:sz w:val="20"/>
        </w:rPr>
        <w:t>późn</w:t>
      </w:r>
      <w:proofErr w:type="spellEnd"/>
      <w:r w:rsidR="004E036B" w:rsidRPr="00477BAC">
        <w:rPr>
          <w:sz w:val="20"/>
        </w:rPr>
        <w:t>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</w:t>
      </w:r>
      <w:proofErr w:type="spellStart"/>
      <w:r w:rsidR="00D01DA5" w:rsidRPr="00477BAC">
        <w:rPr>
          <w:sz w:val="20"/>
        </w:rPr>
        <w:t>późn</w:t>
      </w:r>
      <w:proofErr w:type="spellEnd"/>
      <w:r w:rsidR="00D01DA5" w:rsidRPr="00477BAC">
        <w:rPr>
          <w:sz w:val="20"/>
        </w:rPr>
        <w:t>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</w:t>
      </w:r>
      <w:proofErr w:type="spellStart"/>
      <w:r w:rsidR="00473FB8" w:rsidRPr="00477BAC">
        <w:rPr>
          <w:sz w:val="20"/>
        </w:rPr>
        <w:t>IBDiM</w:t>
      </w:r>
      <w:proofErr w:type="spellEnd"/>
      <w:r w:rsidR="00473FB8" w:rsidRPr="00477BAC">
        <w:rPr>
          <w:sz w:val="20"/>
        </w:rPr>
        <w:t xml:space="preserve">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Warunki Techniczne. Poziome oznakowanie dróg. POD-97, I-55, </w:t>
      </w:r>
      <w:proofErr w:type="spellStart"/>
      <w:r w:rsidRPr="00477BAC">
        <w:rPr>
          <w:sz w:val="20"/>
        </w:rPr>
        <w:t>IBDiM</w:t>
      </w:r>
      <w:proofErr w:type="spellEnd"/>
      <w:r w:rsidRPr="00477BAC">
        <w:rPr>
          <w:sz w:val="20"/>
        </w:rPr>
        <w:t>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</w:t>
      </w:r>
      <w:proofErr w:type="spellStart"/>
      <w:r w:rsidR="005358A5" w:rsidRPr="00477BAC">
        <w:rPr>
          <w:sz w:val="20"/>
        </w:rPr>
        <w:t>późn</w:t>
      </w:r>
      <w:proofErr w:type="spellEnd"/>
      <w:r w:rsidR="005358A5" w:rsidRPr="00477BAC">
        <w:rPr>
          <w:sz w:val="20"/>
        </w:rPr>
        <w:t>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39B927" w14:textId="77777777" w:rsidR="00A760A6" w:rsidRDefault="00A760A6">
      <w:r>
        <w:separator/>
      </w:r>
    </w:p>
  </w:endnote>
  <w:endnote w:type="continuationSeparator" w:id="0">
    <w:p w14:paraId="46AFF17D" w14:textId="77777777" w:rsidR="00A760A6" w:rsidRDefault="00A76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E8053187-13AB-4BB5-88B4-BBD14222380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DF926732-2FFF-4C6D-BE6C-BB159EDD610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DDE0D2F-4AEC-4BA9-9A6C-5270A87E6E6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393DD696-5A95-4E44-AE5A-15361855EBB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34C4E2" w14:textId="77777777" w:rsidR="00A760A6" w:rsidRDefault="00A760A6">
      <w:r>
        <w:separator/>
      </w:r>
    </w:p>
  </w:footnote>
  <w:footnote w:type="continuationSeparator" w:id="0">
    <w:p w14:paraId="2B92BAF9" w14:textId="77777777" w:rsidR="00A760A6" w:rsidRDefault="00A760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17868"/>
    <w:rsid w:val="00122D5C"/>
    <w:rsid w:val="001315F5"/>
    <w:rsid w:val="0013383A"/>
    <w:rsid w:val="00133AF7"/>
    <w:rsid w:val="00133C08"/>
    <w:rsid w:val="00137B45"/>
    <w:rsid w:val="00151383"/>
    <w:rsid w:val="00162E9E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7273"/>
    <w:rsid w:val="00200848"/>
    <w:rsid w:val="00204755"/>
    <w:rsid w:val="002056A4"/>
    <w:rsid w:val="002148EB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3C2E"/>
    <w:rsid w:val="006B51C3"/>
    <w:rsid w:val="006B6850"/>
    <w:rsid w:val="006C1E31"/>
    <w:rsid w:val="006C36F2"/>
    <w:rsid w:val="006C372C"/>
    <w:rsid w:val="006F6DF5"/>
    <w:rsid w:val="00701E82"/>
    <w:rsid w:val="007036BA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64579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1E50"/>
    <w:rsid w:val="008D3486"/>
    <w:rsid w:val="008D5313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83200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</TotalTime>
  <Pages>30</Pages>
  <Words>11899</Words>
  <Characters>73719</Characters>
  <Application>Microsoft Office Word</Application>
  <DocSecurity>0</DocSecurity>
  <Lines>614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85448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Karol Zaniewski</cp:lastModifiedBy>
  <cp:revision>9</cp:revision>
  <cp:lastPrinted>2024-03-06T12:21:00Z</cp:lastPrinted>
  <dcterms:created xsi:type="dcterms:W3CDTF">2023-11-20T11:56:00Z</dcterms:created>
  <dcterms:modified xsi:type="dcterms:W3CDTF">2025-01-16T13:39:00Z</dcterms:modified>
</cp:coreProperties>
</file>