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956AF" w14:textId="77777777" w:rsidR="00BB6C7E" w:rsidRDefault="00BB6C7E" w:rsidP="00BB6C7E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3BFF25F5" w14:textId="77777777" w:rsidR="00BB6C7E" w:rsidRDefault="00BB6C7E" w:rsidP="00BB6C7E">
      <w:pPr>
        <w:jc w:val="center"/>
        <w:rPr>
          <w:sz w:val="28"/>
        </w:rPr>
      </w:pPr>
    </w:p>
    <w:p w14:paraId="465FEC30" w14:textId="77777777" w:rsidR="00BB6C7E" w:rsidRDefault="00BB6C7E" w:rsidP="00BB6C7E">
      <w:pPr>
        <w:jc w:val="center"/>
        <w:rPr>
          <w:b/>
          <w:sz w:val="28"/>
        </w:rPr>
      </w:pPr>
    </w:p>
    <w:p w14:paraId="44E3FEB2" w14:textId="7B2B5E02" w:rsidR="00F132A1" w:rsidRPr="00FB4DD9" w:rsidRDefault="00AB59EA" w:rsidP="00AB59EA">
      <w:pPr>
        <w:spacing w:line="360" w:lineRule="auto"/>
        <w:ind w:left="426" w:right="425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ED429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„Remont drogi wojewódzkiej nr 617 od km 2+650 (2+650) do km 8+553 (8+556); od km 19+565 (19+570) do km 20+521 (20+529); od km 23+258 (23+262) do km 23+990 (23+994)”</w:t>
      </w:r>
    </w:p>
    <w:p w14:paraId="5791DAA2" w14:textId="2474DA41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D - 03.02.01a</w:t>
      </w:r>
    </w:p>
    <w:p w14:paraId="117D5CCF" w14:textId="77777777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115E3084" w14:textId="01BF9300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REGULACJA URZĄDZEŃ PODZIEMNYCH</w:t>
      </w:r>
    </w:p>
    <w:p w14:paraId="6577FE16" w14:textId="77777777" w:rsidR="00F6295F" w:rsidRPr="00F6295F" w:rsidRDefault="00F6295F" w:rsidP="00F6295F">
      <w:pPr>
        <w:jc w:val="center"/>
        <w:rPr>
          <w:rFonts w:ascii="Times New Roman" w:hAnsi="Times New Roman" w:cs="Times New Roman"/>
          <w:b/>
          <w:sz w:val="28"/>
        </w:rPr>
      </w:pPr>
    </w:p>
    <w:p w14:paraId="475B6C6E" w14:textId="77777777" w:rsidR="00F6295F" w:rsidRPr="00F6295F" w:rsidRDefault="00F6295F" w:rsidP="00F6295F">
      <w:pPr>
        <w:jc w:val="center"/>
        <w:rPr>
          <w:rFonts w:ascii="Times New Roman" w:hAnsi="Times New Roman" w:cs="Times New Roman"/>
          <w:b/>
          <w:sz w:val="28"/>
        </w:rPr>
      </w:pPr>
    </w:p>
    <w:p w14:paraId="6A56C73C" w14:textId="77777777" w:rsidR="00F6295F" w:rsidRPr="00F6295F" w:rsidRDefault="00F6295F" w:rsidP="00F6295F">
      <w:pPr>
        <w:pBdr>
          <w:bottom w:val="single" w:sz="6" w:space="1" w:color="auto"/>
        </w:pBdr>
        <w:rPr>
          <w:rFonts w:ascii="Times New Roman" w:hAnsi="Times New Roman" w:cs="Times New Roman"/>
          <w:sz w:val="19"/>
        </w:rPr>
      </w:pPr>
    </w:p>
    <w:p w14:paraId="1E264063" w14:textId="77777777" w:rsidR="00F6295F" w:rsidRPr="00F6295F" w:rsidRDefault="00F6295F" w:rsidP="00F6295F">
      <w:pPr>
        <w:spacing w:before="240"/>
        <w:jc w:val="center"/>
        <w:rPr>
          <w:rFonts w:ascii="Times New Roman" w:hAnsi="Times New Roman" w:cs="Times New Roman"/>
          <w:b/>
        </w:rPr>
      </w:pPr>
      <w:r w:rsidRPr="00F6295F">
        <w:rPr>
          <w:rFonts w:ascii="Times New Roman" w:hAnsi="Times New Roman" w:cs="Times New Roman"/>
          <w:b/>
        </w:rPr>
        <w:t>SPIS TREŚCI</w:t>
      </w:r>
    </w:p>
    <w:p w14:paraId="7B783EBE" w14:textId="77777777" w:rsidR="00F6295F" w:rsidRDefault="00F6295F" w:rsidP="00F6295F">
      <w:pPr>
        <w:pStyle w:val="Spistreci1"/>
        <w:spacing w:before="0" w:after="0"/>
        <w:rPr>
          <w:noProof/>
        </w:rPr>
      </w:pPr>
      <w:r w:rsidRPr="00F6295F">
        <w:rPr>
          <w:b w:val="0"/>
        </w:rPr>
        <w:t xml:space="preserve">  </w:t>
      </w:r>
      <w:r w:rsidRPr="00F6295F">
        <w:rPr>
          <w:b w:val="0"/>
        </w:rPr>
        <w:fldChar w:fldCharType="begin"/>
      </w:r>
      <w:r w:rsidRPr="00F6295F">
        <w:rPr>
          <w:b w:val="0"/>
        </w:rPr>
        <w:instrText xml:space="preserve"> TOC \o "1-1" </w:instrText>
      </w:r>
      <w:r w:rsidRPr="00F6295F">
        <w:rPr>
          <w:b w:val="0"/>
        </w:rPr>
        <w:fldChar w:fldCharType="separate"/>
      </w:r>
    </w:p>
    <w:p w14:paraId="4F0C0A9D" w14:textId="5ADB56BF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_Toc159231904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1C001229" w14:textId="11D38699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_Toc159231905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49C582AA" w14:textId="62873407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_Toc159231906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39329072" w14:textId="7A02D5D2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_Toc159231907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3</w:t>
      </w:r>
      <w:r>
        <w:rPr>
          <w:noProof/>
        </w:rPr>
        <w:fldChar w:fldCharType="end"/>
      </w:r>
    </w:p>
    <w:p w14:paraId="63DC3356" w14:textId="6189146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_Toc159231908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3</w:t>
      </w:r>
      <w:r>
        <w:rPr>
          <w:noProof/>
        </w:rPr>
        <w:fldChar w:fldCharType="end"/>
      </w:r>
    </w:p>
    <w:p w14:paraId="11AA66DA" w14:textId="72E4824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_Toc159231909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51386F4B" w14:textId="73DFA2A0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_Toc159231910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7D126FA0" w14:textId="68B7821E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_Toc159231911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47515618" w14:textId="398E950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_Toc159231912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42249B62" w14:textId="77777777" w:rsidR="00F6295F" w:rsidRPr="00F6295F" w:rsidRDefault="00F6295F" w:rsidP="00F6295F">
      <w:pPr>
        <w:tabs>
          <w:tab w:val="left" w:pos="284"/>
          <w:tab w:val="right" w:leader="dot" w:pos="8789"/>
        </w:tabs>
        <w:ind w:left="90"/>
        <w:jc w:val="center"/>
        <w:rPr>
          <w:rFonts w:ascii="Times New Roman" w:hAnsi="Times New Roman" w:cs="Times New Roman"/>
          <w:b/>
        </w:rPr>
      </w:pPr>
      <w:r w:rsidRPr="00F6295F">
        <w:rPr>
          <w:rFonts w:ascii="Times New Roman" w:hAnsi="Times New Roman" w:cs="Times New Roman"/>
          <w:b/>
        </w:rPr>
        <w:fldChar w:fldCharType="end"/>
      </w:r>
    </w:p>
    <w:p w14:paraId="1169E568" w14:textId="77777777" w:rsidR="00F6295F" w:rsidRDefault="00F6295F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1F3DA5C1" w14:textId="77777777" w:rsidR="00BB6C7E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4D7272C0" w14:textId="77777777" w:rsidR="00BB6C7E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01353F4B" w14:textId="77777777" w:rsidR="00BB6C7E" w:rsidRPr="00F6295F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63BF35DA" w14:textId="77777777" w:rsidR="00F6295F" w:rsidRPr="00F6295F" w:rsidRDefault="00F6295F">
      <w:pPr>
        <w:rPr>
          <w:rFonts w:ascii="Times New Roman" w:hAnsi="Times New Roman" w:cs="Times New Roman"/>
        </w:rPr>
      </w:pPr>
    </w:p>
    <w:p w14:paraId="48065A59" w14:textId="77777777" w:rsidR="00F6295F" w:rsidRPr="00F6295F" w:rsidRDefault="00F6295F">
      <w:pPr>
        <w:rPr>
          <w:rFonts w:ascii="Times New Roman" w:hAnsi="Times New Roman" w:cs="Times New Roman"/>
        </w:rPr>
      </w:pPr>
    </w:p>
    <w:p w14:paraId="77FAA45C" w14:textId="77777777" w:rsidR="00F6295F" w:rsidRPr="00F6295F" w:rsidRDefault="00F6295F" w:rsidP="00F6295F">
      <w:pPr>
        <w:pStyle w:val="Nagwek1"/>
      </w:pPr>
      <w:bookmarkStart w:id="0" w:name="_Toc159231904"/>
      <w:r w:rsidRPr="00F6295F">
        <w:lastRenderedPageBreak/>
        <w:t>1. WSTĘP</w:t>
      </w:r>
      <w:bookmarkEnd w:id="0"/>
      <w:r w:rsidRPr="00F6295F">
        <w:t xml:space="preserve"> </w:t>
      </w:r>
    </w:p>
    <w:p w14:paraId="65804D4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1.1. Przedmiot SST </w:t>
      </w:r>
    </w:p>
    <w:p w14:paraId="0621F11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F29E334" w14:textId="3FDA331A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wykonaniem regulacji pionowej i lokalizacyjnej urządzeń podziemnych na/przy </w:t>
      </w:r>
      <w:r w:rsidR="00307AE9" w:rsidRPr="00307AE9">
        <w:rPr>
          <w:rFonts w:ascii="Times New Roman" w:hAnsi="Times New Roman" w:cs="Times New Roman"/>
          <w:sz w:val="20"/>
          <w:szCs w:val="20"/>
        </w:rPr>
        <w:t>remon</w:t>
      </w:r>
      <w:r w:rsidR="00307AE9">
        <w:rPr>
          <w:rFonts w:ascii="Times New Roman" w:hAnsi="Times New Roman" w:cs="Times New Roman"/>
          <w:sz w:val="20"/>
          <w:szCs w:val="20"/>
        </w:rPr>
        <w:t>cie</w:t>
      </w:r>
      <w:r w:rsidR="00307AE9" w:rsidRPr="00307AE9">
        <w:rPr>
          <w:rFonts w:ascii="Times New Roman" w:hAnsi="Times New Roman" w:cs="Times New Roman"/>
          <w:sz w:val="20"/>
          <w:szCs w:val="20"/>
        </w:rPr>
        <w:t xml:space="preserve"> drogi wojewódzkiej na wyznaczonych jw. odcinkach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4FE2D6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1.2. Zakres stosowania SST </w:t>
      </w:r>
    </w:p>
    <w:p w14:paraId="0621081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C3FFF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Niniejsza szczegółowa specyfikacja techniczna (SST) jest stosowana jako dokument przetargowy i kontraktowy przy zlecaniu i realizacji robót określonych w punkcie 1.1. </w:t>
      </w:r>
    </w:p>
    <w:p w14:paraId="7E48CE1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1.3. Zakres robót objętych SST </w:t>
      </w:r>
    </w:p>
    <w:p w14:paraId="4A17BA7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58A32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i odbiorem </w:t>
      </w:r>
    </w:p>
    <w:p w14:paraId="6276B1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a)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przypowierzchniowej regulacji pionowej urządzeń podziemnych </w:t>
      </w:r>
      <w:proofErr w:type="spellStart"/>
      <w:r w:rsidRPr="00F6295F">
        <w:rPr>
          <w:rFonts w:ascii="Times New Roman" w:hAnsi="Times New Roman" w:cs="Times New Roman"/>
          <w:i/>
          <w:iCs/>
          <w:sz w:val="20"/>
          <w:szCs w:val="20"/>
        </w:rPr>
        <w:t>tj</w:t>
      </w:r>
      <w:proofErr w:type="spellEnd"/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 do wysokości niwelety nawierzchni jezdni bądź chodnika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E90FC7C" w14:textId="469686A4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b)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lokalizacyjnym nowym usytuowaniu studzienek ściekowych </w:t>
      </w:r>
      <w:r w:rsidRPr="00F6295F">
        <w:rPr>
          <w:rFonts w:ascii="Times New Roman" w:hAnsi="Times New Roman" w:cs="Times New Roman"/>
          <w:sz w:val="20"/>
          <w:szCs w:val="20"/>
        </w:rPr>
        <w:t xml:space="preserve">( z ewentualnym montażem nowych elementów z kratkami przy krawężniku w jezdni – dostosowanie urządzeń do skutecznego odwodnienia jezdni poprzez punktowe przesuniecie lokalizacyjne do osi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przykrawężnikowego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odwodnienia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>( wraz z naprawą/</w:t>
      </w:r>
      <w:proofErr w:type="spellStart"/>
      <w:r w:rsidRPr="00F6295F">
        <w:rPr>
          <w:rFonts w:ascii="Times New Roman" w:hAnsi="Times New Roman" w:cs="Times New Roman"/>
          <w:i/>
          <w:iCs/>
          <w:sz w:val="20"/>
          <w:szCs w:val="20"/>
        </w:rPr>
        <w:t>przedużeniem</w:t>
      </w:r>
      <w:proofErr w:type="spellEnd"/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 części </w:t>
      </w:r>
      <w:proofErr w:type="spellStart"/>
      <w:r w:rsidRPr="00F6295F">
        <w:rPr>
          <w:rFonts w:ascii="Times New Roman" w:hAnsi="Times New Roman" w:cs="Times New Roman"/>
          <w:i/>
          <w:iCs/>
          <w:sz w:val="20"/>
          <w:szCs w:val="20"/>
        </w:rPr>
        <w:t>przykanalika</w:t>
      </w:r>
      <w:proofErr w:type="spellEnd"/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 kanalizacyjnego)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B33258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 Określenia podstawowe </w:t>
      </w:r>
    </w:p>
    <w:p w14:paraId="14333E8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1.4.1. Właz studzienki - element żeliwny przeznaczony do przykrycia podziemnych studzienek rewizyjnych, umożliwiający dostęp do urządzeń kanalizacyjnych. </w:t>
      </w:r>
    </w:p>
    <w:p w14:paraId="0CF37B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1.4.2. Kratka ściekowa - urządzenie, przez które wody opadowe przedostają się od góry do wpustu ulicznego. </w:t>
      </w:r>
    </w:p>
    <w:p w14:paraId="73E4BD6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1.4.3. Skrzynka uliczna wodociągowa - element żeliwny służący ochronie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czpienia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zasuwy wodociągowej dzięki któremu można otwierać lub zamykać zasuwę </w:t>
      </w:r>
    </w:p>
    <w:p w14:paraId="294327F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1.4.4. Skrzynka uliczna gazowa - element żeliwny służący ochronie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czpienia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zasuwy gazowej umożliwia zamykanie lub otwieranie zasuwy </w:t>
      </w:r>
    </w:p>
    <w:p w14:paraId="1061A2E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1.4.5. Pokrywa studzienki telefonicznej - element żelbetowy przeznaczony do przykrycia podziemnych studzienek telefonicznych, umożliwiający dostęp do urządzeń telekomunikacyjnych. </w:t>
      </w:r>
    </w:p>
    <w:p w14:paraId="0CB4104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1.4.6. Pozostałe określenia podstawowe są zgodne z obowiązującymi, odpowiednimi polskimi normami i z definicjami podanymi w OST D-M-00.00.00 „Wymagania ogólne” [1] pkt 1.4. </w:t>
      </w:r>
    </w:p>
    <w:p w14:paraId="72E2284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1.5. Ogólne wymagania dotyczące robót </w:t>
      </w:r>
    </w:p>
    <w:p w14:paraId="692FD82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4180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robót podano w ST D-M-00.00.00 „Wymagania ogólne” [1] pkt 1.5. </w:t>
      </w:r>
    </w:p>
    <w:p w14:paraId="459A7F70" w14:textId="77777777" w:rsidR="00F6295F" w:rsidRPr="00F6295F" w:rsidRDefault="00F6295F" w:rsidP="00F6295F">
      <w:pPr>
        <w:pStyle w:val="Nagwek1"/>
      </w:pPr>
      <w:bookmarkStart w:id="1" w:name="_Toc159231905"/>
      <w:r w:rsidRPr="00F6295F">
        <w:t>2. MATERIAŁY</w:t>
      </w:r>
      <w:bookmarkEnd w:id="1"/>
      <w:r w:rsidRPr="00F6295F">
        <w:t xml:space="preserve"> </w:t>
      </w:r>
    </w:p>
    <w:p w14:paraId="5317BC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2.1. Ogólne wymagania dotyczące materiałów </w:t>
      </w:r>
    </w:p>
    <w:p w14:paraId="50B42CB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B24538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ST D-M-00.00.00 „Wymagania ogólne” [1] pkt 2. </w:t>
      </w:r>
    </w:p>
    <w:p w14:paraId="2BA637B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2.2. Materiały do wykonania regulacji pionowej urządzeń podziemnych </w:t>
      </w:r>
    </w:p>
    <w:p w14:paraId="22B44C1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D8A5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Do przypowierzchniowej regulacji należy użyć: </w:t>
      </w:r>
    </w:p>
    <w:p w14:paraId="075EF08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beton klasy min. b-20</w:t>
      </w:r>
    </w:p>
    <w:p w14:paraId="603DAF7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zaprawy cementowej klasy nie niższej niż M12</w:t>
      </w:r>
    </w:p>
    <w:p w14:paraId="3981A5A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ewentualnie specjalistycznych pierścieni do regulacji studzienek kanalizacyjnych oraz telefonicznych. </w:t>
      </w:r>
    </w:p>
    <w:p w14:paraId="0B126FB4" w14:textId="77777777" w:rsidR="00F6295F" w:rsidRPr="00F6295F" w:rsidRDefault="00F6295F" w:rsidP="00F6295F">
      <w:pPr>
        <w:pStyle w:val="Nagwek1"/>
      </w:pPr>
      <w:bookmarkStart w:id="2" w:name="_Toc159231906"/>
      <w:r w:rsidRPr="00F6295F">
        <w:t>3. SPRZĘT</w:t>
      </w:r>
      <w:bookmarkEnd w:id="2"/>
      <w:r w:rsidRPr="00F6295F">
        <w:t xml:space="preserve"> </w:t>
      </w:r>
    </w:p>
    <w:p w14:paraId="5D53F36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3.1. Ogólne wymagania dotyczące sprzętu </w:t>
      </w:r>
    </w:p>
    <w:p w14:paraId="78AE8EC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A8AE5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lastRenderedPageBreak/>
        <w:t xml:space="preserve">Ogólne wymagania dotyczące sprzętu podano w ST D-M-00.00.00 „Wymagania ogólne” [1] pkt 3. </w:t>
      </w:r>
    </w:p>
    <w:p w14:paraId="7134A95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3.2. Sprzęt stosowany do wykonania robót j urządzeń podziemnych </w:t>
      </w:r>
    </w:p>
    <w:p w14:paraId="0C51BD9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6E1E51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Wykonawca przystępujący do wykonania ww. robót, powinien wykazać się możliwością korzystania z następującego sprzętu: </w:t>
      </w:r>
    </w:p>
    <w:p w14:paraId="131EDB3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piły tarczowej, </w:t>
      </w:r>
    </w:p>
    <w:p w14:paraId="21CD368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młotków, łomów, </w:t>
      </w:r>
    </w:p>
    <w:p w14:paraId="58B1DFE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pomocniczego (szczotka, łopata, itp.). </w:t>
      </w:r>
    </w:p>
    <w:p w14:paraId="3AE7EC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do wykonania przewiertu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przykanalików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odc. wskazanych w przedmiarze. </w:t>
      </w:r>
    </w:p>
    <w:p w14:paraId="2BD493E1" w14:textId="77777777" w:rsidR="00F6295F" w:rsidRPr="00F6295F" w:rsidRDefault="00F6295F" w:rsidP="00F6295F">
      <w:pPr>
        <w:pStyle w:val="Nagwek1"/>
      </w:pPr>
      <w:bookmarkStart w:id="3" w:name="_Toc159231907"/>
      <w:r w:rsidRPr="00F6295F">
        <w:t>4. TRANSPORT</w:t>
      </w:r>
      <w:bookmarkEnd w:id="3"/>
      <w:r w:rsidRPr="00F6295F">
        <w:t xml:space="preserve"> </w:t>
      </w:r>
    </w:p>
    <w:p w14:paraId="1539E4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4.1. Ogólne wymagania dotyczące transportu </w:t>
      </w:r>
    </w:p>
    <w:p w14:paraId="68EE7ADF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FECA70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transportu podano w ST D-M-00.00.00 „Wymagania ogólne” [1] pkt 4. </w:t>
      </w:r>
    </w:p>
    <w:p w14:paraId="54D0DEEF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4.2. Transport materiałów </w:t>
      </w:r>
    </w:p>
    <w:p w14:paraId="6C05486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1B829A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Transport nowych materiałów do wykonania naprawy, powinien odpowiadać wymaganiom określonym w OST D-M-00.00.00 „Wymagania ogólne” pkt 4. </w:t>
      </w:r>
    </w:p>
    <w:p w14:paraId="3122E46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 WYKONANIE ROBÓT </w:t>
      </w:r>
    </w:p>
    <w:p w14:paraId="22A0289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5.1. Ogólne zasady wykonania robót </w:t>
      </w:r>
    </w:p>
    <w:p w14:paraId="754304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71FBAA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wykonania robót podano w ST D-M-00.00.00 „Wymagania ogólne” [1] pkt 5. </w:t>
      </w:r>
    </w:p>
    <w:p w14:paraId="074977D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5.2. Zasady wykonania regulacji </w:t>
      </w:r>
    </w:p>
    <w:p w14:paraId="2887F3D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2A1319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Wykonanie regulacji pionowej obejmuje: </w:t>
      </w:r>
    </w:p>
    <w:p w14:paraId="7CF7CB6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 roboty przygotowawcze </w:t>
      </w:r>
    </w:p>
    <w:p w14:paraId="49427FE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odkrycie oraz rozebranie istniejącej pokrywy, wpustu lub skrzynki </w:t>
      </w:r>
    </w:p>
    <w:p w14:paraId="1731200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ustalenie nowej wysokości </w:t>
      </w:r>
    </w:p>
    <w:p w14:paraId="52A669F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 roboty budowlane </w:t>
      </w:r>
    </w:p>
    <w:p w14:paraId="553CC04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zagęszczenie podłoża wokół urządzenia </w:t>
      </w:r>
    </w:p>
    <w:p w14:paraId="16A9A54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specjalnych pierścieni, utwardzenie/obetonowanie; </w:t>
      </w:r>
    </w:p>
    <w:p w14:paraId="0535AEA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pokrywy, wpustu lub skrzynki </w:t>
      </w:r>
    </w:p>
    <w:p w14:paraId="777A99DA" w14:textId="77777777" w:rsidR="00F6295F" w:rsidRPr="00F6295F" w:rsidRDefault="00F6295F" w:rsidP="00F6295F">
      <w:pPr>
        <w:pStyle w:val="Nagwek1"/>
      </w:pPr>
      <w:bookmarkStart w:id="4" w:name="_Toc159231908"/>
      <w:r w:rsidRPr="00F6295F">
        <w:t>6. KONTROLA JAKOŚCI ROBÓT</w:t>
      </w:r>
      <w:bookmarkEnd w:id="4"/>
      <w:r w:rsidRPr="00F6295F">
        <w:t xml:space="preserve"> </w:t>
      </w:r>
    </w:p>
    <w:p w14:paraId="356D483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6.1. Ogólne zasady kontroli jakości robót </w:t>
      </w:r>
    </w:p>
    <w:p w14:paraId="3C774D5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7DF4F7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kontroli jakości robót podano w ST D-M-00.00.00 „Wymagania ogólne” [1] pkt 6. </w:t>
      </w:r>
    </w:p>
    <w:p w14:paraId="5CF82C9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6.2. Badania przed przystąpieniem do robót </w:t>
      </w:r>
    </w:p>
    <w:p w14:paraId="37D2BA8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A4B811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2DA3852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uzyskać wymagane dokumenty, dopuszczające wyroby budowlane do obrotu i powszechnego stosowania (certyfikaty na znak bezpieczeństwa, aprobaty techniczne, certyfikaty zgodności, deklaracje zgodności, ew. badania materiałów wykonane przez dostawców itp.), </w:t>
      </w:r>
    </w:p>
    <w:p w14:paraId="7538EFE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sprawdzić cechy zewnętrzne gotowych materiałów z tworzyw i prefabrykowanych. </w:t>
      </w:r>
    </w:p>
    <w:p w14:paraId="24595C7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33D4DB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Inspektorowi do akceptacji. </w:t>
      </w:r>
    </w:p>
    <w:p w14:paraId="31DB7BC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6.3. Badania wykonanych robót </w:t>
      </w:r>
    </w:p>
    <w:p w14:paraId="4C28B61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0DE9C0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Po zakończeniu robót należy sprawdzić wizualnie: </w:t>
      </w:r>
    </w:p>
    <w:p w14:paraId="07145BD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wygląd zewnętrzny wykonanej regulacji w zakresie wyglądu, kształtu, wymiarów, desenia nawierzchni typu kostkowego, </w:t>
      </w:r>
    </w:p>
    <w:p w14:paraId="3313E96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lastRenderedPageBreak/>
        <w:t xml:space="preserve">- poprawność profilu podłużnego i poprzecznego, nawiązującego do otaczającej nawierzchni i umożliwiającego spływ powierzchniowy wód. </w:t>
      </w:r>
    </w:p>
    <w:p w14:paraId="69B293E6" w14:textId="77777777" w:rsidR="00F6295F" w:rsidRPr="00F6295F" w:rsidRDefault="00F6295F" w:rsidP="00F6295F">
      <w:pPr>
        <w:pStyle w:val="Nagwek1"/>
      </w:pPr>
      <w:bookmarkStart w:id="5" w:name="_Toc159231909"/>
      <w:r w:rsidRPr="00F6295F">
        <w:t>7. OBMIAR ROBÓT</w:t>
      </w:r>
      <w:bookmarkEnd w:id="5"/>
      <w:r w:rsidRPr="00F6295F">
        <w:t xml:space="preserve"> </w:t>
      </w:r>
    </w:p>
    <w:p w14:paraId="02E0CA1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7.1. Ogólne zasady obmiaru robót </w:t>
      </w:r>
    </w:p>
    <w:p w14:paraId="04B52DD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AC836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ST D-M-00.00.00 „Wymagania ogólne” [1] pkt 7. </w:t>
      </w:r>
    </w:p>
    <w:p w14:paraId="3638C46C" w14:textId="77777777" w:rsidR="00F6295F" w:rsidRPr="00F6295F" w:rsidRDefault="00F6295F" w:rsidP="00F6295F">
      <w:pPr>
        <w:pStyle w:val="Nagwek1"/>
      </w:pPr>
      <w:bookmarkStart w:id="6" w:name="_Toc159231910"/>
      <w:r w:rsidRPr="00F6295F">
        <w:t>8. OBMIAR ROBÓT</w:t>
      </w:r>
      <w:bookmarkEnd w:id="6"/>
      <w:r w:rsidRPr="00F6295F">
        <w:t xml:space="preserve"> </w:t>
      </w:r>
    </w:p>
    <w:p w14:paraId="3AD4238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8.1. Ogólne zasady obmiaru robót </w:t>
      </w:r>
    </w:p>
    <w:p w14:paraId="77639FA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3F17B1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OST D-M-00.00.00 „Wymagania ogólne” [1] pkt 7. </w:t>
      </w:r>
    </w:p>
    <w:p w14:paraId="220B6F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8.2. Jednostka obmiarowa </w:t>
      </w:r>
    </w:p>
    <w:p w14:paraId="2BCDEF6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665548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Jednostką obmiarową jest 1 sztuka wyregulowanego urządzenia. </w:t>
      </w:r>
    </w:p>
    <w:p w14:paraId="48677A6E" w14:textId="77777777" w:rsidR="00F6295F" w:rsidRPr="00F6295F" w:rsidRDefault="00F6295F" w:rsidP="00F6295F">
      <w:pPr>
        <w:pStyle w:val="Nagwek1"/>
      </w:pPr>
      <w:bookmarkStart w:id="7" w:name="_Toc159231911"/>
      <w:r w:rsidRPr="00F6295F">
        <w:t>9. ODBIÓR ROBÓT</w:t>
      </w:r>
      <w:bookmarkEnd w:id="7"/>
      <w:r w:rsidRPr="00F6295F">
        <w:t xml:space="preserve"> </w:t>
      </w:r>
    </w:p>
    <w:p w14:paraId="44D0B63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9.1. Ogólne zasady odbioru robót </w:t>
      </w:r>
    </w:p>
    <w:p w14:paraId="15EA1C5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14D10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odbioru robót podano w OST D-M-00.00.00 „Wymagania ogólne” [1] pkt 8. </w:t>
      </w:r>
    </w:p>
    <w:p w14:paraId="148BD18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Roboty uznaje się za wykonane zgodnie z Opis warunków wykonywania , SST i wymaganiami Inżyniera, jeżeli wszystkie pomiary i badania z zachowaniem tolerancji wg pkt 6 dały wyniki pozytywne. </w:t>
      </w:r>
    </w:p>
    <w:p w14:paraId="52F24EE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9.2. Odbiór robót zanikających i ulegających zakryciu </w:t>
      </w:r>
    </w:p>
    <w:p w14:paraId="34CA07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59B18E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Odbiorowi robót zanikających i ulegaj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ących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zakryciu podlegaj ą: </w:t>
      </w:r>
    </w:p>
    <w:p w14:paraId="6A17E57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roboty rozbiórkowe, </w:t>
      </w:r>
    </w:p>
    <w:p w14:paraId="31CA9D8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podłoże pod regulację </w:t>
      </w:r>
    </w:p>
    <w:p w14:paraId="450A57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8BA761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Odbiór tych robót powinien być zgodny z wymaganiami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pktu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8.2 D-M-00.00.00 „Wymagania ogólne” [1] oraz niniejszej SST. </w:t>
      </w:r>
    </w:p>
    <w:p w14:paraId="645177E5" w14:textId="77777777" w:rsidR="00F6295F" w:rsidRPr="00F6295F" w:rsidRDefault="00F6295F" w:rsidP="00F6295F">
      <w:pPr>
        <w:pStyle w:val="Nagwek1"/>
      </w:pPr>
      <w:bookmarkStart w:id="8" w:name="_Toc159231912"/>
      <w:r w:rsidRPr="00F6295F">
        <w:t>10. PODSTAWA PŁATNOŚCI</w:t>
      </w:r>
      <w:bookmarkEnd w:id="8"/>
      <w:r w:rsidRPr="00F6295F">
        <w:t xml:space="preserve"> </w:t>
      </w:r>
    </w:p>
    <w:p w14:paraId="24716BB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10.1. Ogólne ustalenia dotyczące podstawy płatności </w:t>
      </w:r>
    </w:p>
    <w:p w14:paraId="2E3E88C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[1] „Wymagania ogólne” pkt 9</w:t>
      </w:r>
    </w:p>
    <w:p w14:paraId="7AF973C0" w14:textId="77777777" w:rsidR="00F6295F" w:rsidRPr="00F6295F" w:rsidRDefault="00F6295F">
      <w:pPr>
        <w:rPr>
          <w:rFonts w:ascii="Times New Roman" w:hAnsi="Times New Roman" w:cs="Times New Roman"/>
        </w:rPr>
      </w:pPr>
    </w:p>
    <w:sectPr w:rsidR="00F6295F" w:rsidRPr="00F62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5F"/>
    <w:rsid w:val="00140975"/>
    <w:rsid w:val="00307AE9"/>
    <w:rsid w:val="00AB59EA"/>
    <w:rsid w:val="00BB6C7E"/>
    <w:rsid w:val="00C20ACF"/>
    <w:rsid w:val="00E3474D"/>
    <w:rsid w:val="00EA6771"/>
    <w:rsid w:val="00F132A1"/>
    <w:rsid w:val="00F568C2"/>
    <w:rsid w:val="00F6295F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D0DC"/>
  <w15:chartTrackingRefBased/>
  <w15:docId w15:val="{19676EA7-75D1-4B07-8B9A-18FA5851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95F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40975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jc w:val="both"/>
      <w:textAlignment w:val="baseline"/>
      <w:outlineLvl w:val="0"/>
    </w:pPr>
    <w:rPr>
      <w:rFonts w:ascii="Times New Roman" w:eastAsiaTheme="majorEastAsia" w:hAnsi="Times New Roman" w:cstheme="majorBidi"/>
      <w:b/>
      <w:caps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 w:line="259" w:lineRule="auto"/>
      <w:outlineLvl w:val="1"/>
    </w:pPr>
    <w:rPr>
      <w:rFonts w:ascii="Times New Roman" w:eastAsiaTheme="majorEastAsia" w:hAnsi="Times New Roman" w:cstheme="majorBidi"/>
      <w:b/>
      <w:kern w:val="2"/>
      <w:sz w:val="20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95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95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95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140975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9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9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9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9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9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9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9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6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95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62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95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629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95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629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9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95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Spistreci1">
    <w:name w:val="toc 1"/>
    <w:basedOn w:val="Normalny"/>
    <w:next w:val="Normalny"/>
    <w:uiPriority w:val="39"/>
    <w:rsid w:val="00F6295F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979</Words>
  <Characters>5879</Characters>
  <Application>Microsoft Office Word</Application>
  <DocSecurity>0</DocSecurity>
  <Lines>48</Lines>
  <Paragraphs>13</Paragraphs>
  <ScaleCrop>false</ScaleCrop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8</cp:revision>
  <cp:lastPrinted>2024-03-06T12:11:00Z</cp:lastPrinted>
  <dcterms:created xsi:type="dcterms:W3CDTF">2024-02-19T09:40:00Z</dcterms:created>
  <dcterms:modified xsi:type="dcterms:W3CDTF">2025-01-17T06:45:00Z</dcterms:modified>
</cp:coreProperties>
</file>