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64C0B390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081A1F">
        <w:rPr>
          <w:rFonts w:ascii="Times New Roman" w:hAnsi="Times New Roman" w:cs="Times New Roman"/>
          <w:b/>
          <w:sz w:val="20"/>
          <w:szCs w:val="20"/>
        </w:rPr>
        <w:t>7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49E2B88E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081A1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(Zadanie nr </w:t>
      </w:r>
      <w:r w:rsidR="00081A1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07B9C2EB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081A1F">
        <w:rPr>
          <w:rFonts w:ascii="Times New Roman" w:hAnsi="Times New Roman" w:cs="Times New Roman"/>
          <w:b/>
        </w:rPr>
        <w:t>Ostrów Mazowiecka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7125505F" w:rsidR="009733A0" w:rsidRPr="00432037" w:rsidRDefault="009733A0" w:rsidP="00A252E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A252EA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3787250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56A42A8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72FF49BD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46BCBE5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51DDD73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4695E56B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2ADB3B85" w14:textId="77777777" w:rsidR="00A252EA" w:rsidRDefault="00A252EA" w:rsidP="00A252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75F1B" w:rsidRPr="00C80AF4" w14:paraId="0D353A88" w14:textId="77777777" w:rsidTr="00414091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68A67321" w:rsidR="00275F1B" w:rsidRPr="00C80AF4" w:rsidRDefault="00275F1B" w:rsidP="00275F1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4FA72373" w:rsidR="00275F1B" w:rsidRPr="00C80AF4" w:rsidRDefault="00275F1B" w:rsidP="0027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275F1B" w:rsidRPr="00C80AF4" w:rsidRDefault="00275F1B" w:rsidP="00275F1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275F1B" w:rsidRPr="00C80AF4" w:rsidRDefault="00275F1B" w:rsidP="0027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275F1B" w:rsidRPr="00C80AF4" w:rsidRDefault="00275F1B" w:rsidP="00275F1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275F1B" w:rsidRPr="00C80AF4" w:rsidRDefault="00275F1B" w:rsidP="00275F1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75F1B" w:rsidRPr="00C80AF4" w14:paraId="27E2207E" w14:textId="77777777" w:rsidTr="00414091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72FA370B" w:rsidR="00275F1B" w:rsidRPr="00C80AF4" w:rsidRDefault="00275F1B" w:rsidP="00275F1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12ABE4A8" w:rsidR="00275F1B" w:rsidRPr="00C80AF4" w:rsidRDefault="00275F1B" w:rsidP="0027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275F1B" w:rsidRPr="00C80AF4" w:rsidRDefault="00275F1B" w:rsidP="00275F1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275F1B" w:rsidRPr="00C80AF4" w:rsidRDefault="00275F1B" w:rsidP="00275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275F1B" w:rsidRPr="00C80AF4" w:rsidRDefault="00275F1B" w:rsidP="00275F1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275F1B" w:rsidRPr="00C80AF4" w:rsidRDefault="00275F1B" w:rsidP="00275F1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041E8A20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E4763A6E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81A1F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5F1B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2EA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56DE8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2025-01-29T13:35:00Z</dcterms:modified>
</cp:coreProperties>
</file>