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ADAF" w14:textId="77777777" w:rsidR="00F922DB" w:rsidRPr="00366B09" w:rsidRDefault="00F922D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66B09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4F2BE093" w14:textId="77777777" w:rsidR="006E17D5" w:rsidRPr="00366B09" w:rsidRDefault="006E17D5" w:rsidP="006E17D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53449D" w14:textId="77777777" w:rsidR="00F922DB" w:rsidRPr="00366B09" w:rsidRDefault="00F922DB" w:rsidP="006E17D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66B09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527C1360" w14:textId="77777777" w:rsidR="006E17D5" w:rsidRPr="00366B09" w:rsidRDefault="006E17D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D0029A1" w14:textId="6CBC360C" w:rsidR="00F922DB" w:rsidRPr="00366B09" w:rsidRDefault="00F922DB" w:rsidP="007976EF">
      <w:pPr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1.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466D99" w:rsidRP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Sukcesywne dostawy produktów leczniczych</w:t>
      </w:r>
      <w:r w:rsidR="006E15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i </w:t>
      </w:r>
      <w:r w:rsidR="00466D99" w:rsidRP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leków refundowanych,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F274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r referencyjny: </w:t>
      </w:r>
      <w:r w:rsidR="00D87E3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6E159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5</w:t>
      </w:r>
    </w:p>
    <w:p w14:paraId="0A4A0AF0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5925FFE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366B09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366B09" w14:paraId="48F45F4F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6B798610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366B0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3018F825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FEE9CE6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F9388F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24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1779867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60AE2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61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508AC2AB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297B1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3F93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40AEC8E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65AF2E8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5B7D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0C54CF0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221CC91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1AD5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608730F7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98391C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A5A9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C6A0577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D6E552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4FEA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2944" w:rsidRPr="00366B09" w14:paraId="190562B9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4A6073EE" w14:textId="77777777" w:rsidR="00342944" w:rsidRPr="00366B09" w:rsidRDefault="0034294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C5929" w14:textId="77777777" w:rsidR="00342944" w:rsidRPr="00366B09" w:rsidRDefault="0034294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528BD0DD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EA90B2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B17D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3941F7CF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8D8A0E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27A7E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2CC9758" w14:textId="77777777" w:rsidR="007976EF" w:rsidRPr="00366B09" w:rsidRDefault="007976EF" w:rsidP="00694DCF">
      <w:pPr>
        <w:spacing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D6C7F5" w14:textId="77777777" w:rsidR="00694DCF" w:rsidRPr="00366B09" w:rsidRDefault="00694DCF" w:rsidP="00694DCF">
      <w:pPr>
        <w:spacing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auto"/>
          <w:sz w:val="24"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366B09" w14:paraId="655EFA80" w14:textId="77777777" w:rsidTr="00366B09">
        <w:trPr>
          <w:trHeight w:val="1932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1FCA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06C6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2FCAD7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2296E98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897DD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FAE6C5D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218006E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957A9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4C8D1FA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03AB2C" w14:textId="77777777" w:rsidR="00633ED1" w:rsidRPr="00366B09" w:rsidRDefault="00633ED1">
            <w:pPr>
              <w:tabs>
                <w:tab w:val="left" w:pos="90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70CA939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8D1B8A" w14:textId="77777777" w:rsidR="00633ED1" w:rsidRPr="00366B09" w:rsidRDefault="00633ED1">
            <w:pPr>
              <w:tabs>
                <w:tab w:val="left" w:pos="720"/>
                <w:tab w:val="left" w:pos="9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0E6657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073A5F1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</w:tr>
      <w:tr w:rsidR="00633ED1" w:rsidRPr="00366B09" w14:paraId="75EB125B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BCF817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8639EF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96CC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ED7F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2F4E0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D1710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366B09" w14:paraId="0CA3641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8F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80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75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F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A37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F01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1D1B6884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EB92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2DBD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5C24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988F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8ABA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E72C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20E147B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82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BC7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C35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986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9DC0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0F3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76EF" w:rsidRPr="00366B09" w14:paraId="645F52BF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3595" w14:textId="77777777" w:rsidR="007976EF" w:rsidRPr="00366B09" w:rsidRDefault="007976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89DF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E37D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0415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7305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550B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426E40C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5FFF" w14:textId="5D47990D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B57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865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13F9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F2C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76E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7544323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A1CD" w14:textId="64F060B6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6B9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3DC8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150B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3CB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D34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7EE3A79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8E05" w14:textId="47F9A925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3AE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3E4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0B61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84B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0034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90F67F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3866" w14:textId="19552966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5CA0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291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0B5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44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3CC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F805340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DA64" w14:textId="75ECEF0A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0313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B41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9513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AEA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11B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1592" w:rsidRPr="00366B09" w14:paraId="2E8F76DB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DF9F" w14:textId="0270D912" w:rsidR="006E1592" w:rsidRPr="00366B09" w:rsidRDefault="006E15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BEEA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DCEA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E8E8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D555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21E7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1592" w:rsidRPr="00366B09" w14:paraId="2EF548DC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C0C0" w14:textId="61020A44" w:rsidR="006E1592" w:rsidRDefault="006E15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6AC0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4242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B725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BFC3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73F4" w14:textId="77777777" w:rsidR="006E1592" w:rsidRPr="00366B09" w:rsidRDefault="006E1592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7F65BBA" w14:textId="77777777" w:rsidR="002F34E4" w:rsidRPr="00366B09" w:rsidRDefault="002F34E4" w:rsidP="007976E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29CF75" w14:textId="486217D3" w:rsidR="00CF2743" w:rsidRPr="00366B09" w:rsidRDefault="002A666C" w:rsidP="002F34E4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32A04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Termin realizacji zamówienia: </w:t>
      </w:r>
      <w:r w:rsidR="006E1592">
        <w:rPr>
          <w:rFonts w:asciiTheme="minorHAnsi" w:hAnsiTheme="minorHAnsi" w:cstheme="minorHAnsi"/>
          <w:b/>
          <w:bCs/>
          <w:sz w:val="24"/>
          <w:szCs w:val="24"/>
          <w:u w:val="single"/>
        </w:rPr>
        <w:t>24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miesi</w:t>
      </w:r>
      <w:r w:rsidR="006E1592">
        <w:rPr>
          <w:rFonts w:asciiTheme="minorHAnsi" w:hAnsiTheme="minorHAnsi" w:cstheme="minorHAnsi"/>
          <w:b/>
          <w:bCs/>
          <w:sz w:val="24"/>
          <w:szCs w:val="24"/>
          <w:u w:val="single"/>
        </w:rPr>
        <w:t>ące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od daty zawarcia umowy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0869A9" w14:textId="77777777" w:rsidR="00F922DB" w:rsidRPr="00366B09" w:rsidRDefault="000A397F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Warunki płatności: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29CA4E0A" w14:textId="77777777" w:rsidR="00F922DB" w:rsidRPr="00366B09" w:rsidRDefault="00F922DB">
      <w:pPr>
        <w:pStyle w:val="Standard"/>
        <w:tabs>
          <w:tab w:val="left" w:pos="28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120AC2D" w14:textId="77777777" w:rsidR="00F922DB" w:rsidRPr="00366B09" w:rsidRDefault="000A39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6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.     Rodzaj przedsiębiorstwa jakim jest Wykonawca 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</w:t>
      </w:r>
      <w:r w:rsidR="0062587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AC0A86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:</w:t>
      </w:r>
    </w:p>
    <w:p w14:paraId="6D7A0C5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7E3774AF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084681E" w14:textId="10D70B66" w:rsidR="00F922DB" w:rsidRPr="00366B09" w:rsidRDefault="00F922DB" w:rsidP="0047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150"/>
        </w:tabs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  <w:r w:rsidR="0047040A" w:rsidRPr="00366B09">
        <w:rPr>
          <w:rFonts w:asciiTheme="minorHAnsi" w:hAnsiTheme="minorHAnsi" w:cstheme="minorHAnsi"/>
          <w:b/>
          <w:sz w:val="24"/>
          <w:szCs w:val="24"/>
        </w:rPr>
        <w:tab/>
      </w:r>
    </w:p>
    <w:p w14:paraId="629B1B3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736F0DE6" w14:textId="77777777" w:rsidR="00F922DB" w:rsidRPr="00366B09" w:rsidRDefault="000A39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Niniejszym oświadczam, że:</w:t>
      </w:r>
    </w:p>
    <w:p w14:paraId="06752E5D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warunkami zamówienia i przyjmuję je bez zastrzeżeń;</w:t>
      </w:r>
    </w:p>
    <w:p w14:paraId="5880585C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postanowieniami załączonego do SWZ wzoru umowy i przyjmuję go bez zastrzeżeń;</w:t>
      </w:r>
    </w:p>
    <w:p w14:paraId="4ECAB290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 xml:space="preserve">jestem związany niniejszą ofertą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przez okres </w:t>
      </w: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 dni, licząc</w:t>
      </w:r>
      <w:r w:rsidRPr="00366B09">
        <w:rPr>
          <w:rFonts w:asciiTheme="minorHAnsi" w:hAnsiTheme="minorHAnsi" w:cstheme="minorHAnsi"/>
          <w:sz w:val="24"/>
          <w:szCs w:val="24"/>
        </w:rPr>
        <w:t xml:space="preserve"> od dnia składania ofert podanego w SWZ.</w:t>
      </w:r>
    </w:p>
    <w:p w14:paraId="513122CA" w14:textId="46AF5DA2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color w:val="auto"/>
          <w:sz w:val="24"/>
          <w:szCs w:val="24"/>
        </w:rPr>
        <w:t>UWAGA: Załączniki nr 2</w:t>
      </w:r>
      <w:r w:rsidR="007976EF" w:rsidRPr="00366B09">
        <w:rPr>
          <w:rFonts w:asciiTheme="minorHAnsi" w:hAnsiTheme="minorHAnsi" w:cstheme="minorHAnsi"/>
          <w:color w:val="auto"/>
          <w:sz w:val="24"/>
          <w:szCs w:val="24"/>
        </w:rPr>
        <w:t>.1-2.</w:t>
      </w:r>
      <w:r w:rsidR="00EC21FC">
        <w:rPr>
          <w:rFonts w:asciiTheme="minorHAnsi" w:hAnsiTheme="minorHAnsi" w:cstheme="minorHAnsi"/>
          <w:color w:val="auto"/>
          <w:sz w:val="24"/>
          <w:szCs w:val="24"/>
        </w:rPr>
        <w:t>11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do SWZ – Formularz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cenow</w:t>
      </w:r>
      <w:r w:rsidR="00AC0A86" w:rsidRPr="00366B0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stanowi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integralną część Formularza Oferty, nie podlega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ją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65108F79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75D0AF8" w14:textId="77777777" w:rsidR="00F922DB" w:rsidRPr="00366B09" w:rsidRDefault="000A397F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8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    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366B09" w14:paraId="6303A9FC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7AA927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B82DF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711D4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366B09" w14:paraId="3A5696B5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9D1CB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62543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6B33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478C048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0610B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9AD2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A21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96DFB9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11A1E2" w14:textId="575CFCE5" w:rsidR="00F922DB" w:rsidRPr="00366B09" w:rsidRDefault="000A397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Ogólnodostępna i bezpłatna baza, z której Zamawiający może samodzielnie pozyskać dokumenty, o których mowa w Rozdziale XII ppkt. 3.2 SWZ:</w:t>
      </w:r>
    </w:p>
    <w:p w14:paraId="637C4799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7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31D39306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366B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BC09E0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74D38ECB" w14:textId="77777777" w:rsidR="00F922DB" w:rsidRPr="00366B09" w:rsidRDefault="00F922DB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7319F954" w14:textId="0F735137" w:rsidR="00F922DB" w:rsidRPr="00366B09" w:rsidRDefault="001A5CC7">
      <w:pPr>
        <w:autoSpaceDE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0A397F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67F07D2" w14:textId="77777777" w:rsidR="00F922DB" w:rsidRPr="00366B09" w:rsidRDefault="00F922DB">
      <w:pPr>
        <w:autoSpaceDE w:val="0"/>
        <w:jc w:val="both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</w:p>
    <w:p w14:paraId="125BEA52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6B38F5E5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033E558B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j/w przypis 2.</w:t>
      </w:r>
    </w:p>
    <w:p w14:paraId="09647903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4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wypełnić dla każdego podmiotu osobno.</w:t>
      </w:r>
    </w:p>
    <w:p w14:paraId="6E830E74" w14:textId="4127FC8E" w:rsidR="00F922DB" w:rsidRPr="00366B09" w:rsidRDefault="00F922DB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  <w:r w:rsidR="00AA768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ab/>
        <w:t>Rozporządzenie Parlamentu Europejskiego i Rady (UE) 2016/679 z dnia 27 kwietnia 2016 r. w</w:t>
      </w:r>
      <w:r w:rsidR="00366B09">
        <w:rPr>
          <w:rFonts w:asciiTheme="minorHAnsi" w:hAnsiTheme="minorHAnsi" w:cstheme="minorHAnsi"/>
          <w:i/>
          <w:sz w:val="24"/>
          <w:szCs w:val="24"/>
        </w:rPr>
        <w:t> </w:t>
      </w:r>
      <w:r w:rsidRPr="00366B09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CE68F9" w14:textId="372B33C2" w:rsidR="00F922DB" w:rsidRPr="00366B09" w:rsidRDefault="00F922DB">
      <w:pPr>
        <w:tabs>
          <w:tab w:val="left" w:pos="700"/>
        </w:tabs>
        <w:spacing w:after="140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0329B8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ab/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W </w:t>
      </w:r>
      <w:r w:rsidR="0047040A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przypadku,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9DF84A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04B14EF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B6EFDF3" w14:textId="77777777" w:rsidR="00E40419" w:rsidRPr="00366B09" w:rsidRDefault="00E40419" w:rsidP="00E4041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2C11270C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366B09" w:rsidSect="00A836E6">
      <w:headerReference w:type="default" r:id="rId9"/>
      <w:footerReference w:type="default" r:id="rId10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6DB4" w14:textId="77777777" w:rsidR="00585456" w:rsidRDefault="00585456">
      <w:r>
        <w:separator/>
      </w:r>
    </w:p>
  </w:endnote>
  <w:endnote w:type="continuationSeparator" w:id="0">
    <w:p w14:paraId="222069D2" w14:textId="77777777" w:rsidR="00585456" w:rsidRDefault="005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A0E2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847EA99" w14:textId="258DAA00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65-046 Zielona Góra ul. Zyty 26, Sąd Rejonowy w Zielonej Górze VIII Wydział Gospodarczy Krajowego Rejestru Sądowego Rejestr przedsiębiorców nr KRS 0000 596211,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59FFCA05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9E48" w14:textId="77777777" w:rsidR="00585456" w:rsidRDefault="00585456">
      <w:r>
        <w:separator/>
      </w:r>
    </w:p>
  </w:footnote>
  <w:footnote w:type="continuationSeparator" w:id="0">
    <w:p w14:paraId="6D5D1160" w14:textId="77777777" w:rsidR="00585456" w:rsidRDefault="005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B8A" w14:textId="24591EAD" w:rsidR="00F922DB" w:rsidRDefault="00E964F5">
    <w:pPr>
      <w:jc w:val="center"/>
    </w:pPr>
    <w:r>
      <w:rPr>
        <w:b/>
        <w:bCs/>
        <w:noProof/>
        <w:lang w:eastAsia="pl-PL"/>
      </w:rPr>
      <w:drawing>
        <wp:inline distT="0" distB="0" distL="0" distR="0" wp14:anchorId="1DAED53E" wp14:editId="78CF704C">
          <wp:extent cx="4486275" cy="600075"/>
          <wp:effectExtent l="0" t="0" r="0" b="0"/>
          <wp:docPr id="1" name="Obraz 1" descr="Logo Szpital Uniwersytecki im. Karola Marcinkowskiego w Zielonej Górze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 Uniwersytecki im. Karola Marcinkowskiego w Zielonej Górze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771118747">
    <w:abstractNumId w:val="0"/>
  </w:num>
  <w:num w:numId="2" w16cid:durableId="5486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1321E1"/>
    <w:rsid w:val="0014720B"/>
    <w:rsid w:val="001A5CC7"/>
    <w:rsid w:val="001B0BDF"/>
    <w:rsid w:val="001C3FF3"/>
    <w:rsid w:val="002136C7"/>
    <w:rsid w:val="00273529"/>
    <w:rsid w:val="0027750C"/>
    <w:rsid w:val="00297E09"/>
    <w:rsid w:val="002A5F18"/>
    <w:rsid w:val="002A666C"/>
    <w:rsid w:val="002C231C"/>
    <w:rsid w:val="002F34E4"/>
    <w:rsid w:val="00324F88"/>
    <w:rsid w:val="00342944"/>
    <w:rsid w:val="00366B09"/>
    <w:rsid w:val="003A5107"/>
    <w:rsid w:val="003D12D4"/>
    <w:rsid w:val="0043345C"/>
    <w:rsid w:val="00443C38"/>
    <w:rsid w:val="0045538C"/>
    <w:rsid w:val="00466D99"/>
    <w:rsid w:val="0047040A"/>
    <w:rsid w:val="0055105C"/>
    <w:rsid w:val="00585456"/>
    <w:rsid w:val="005937EC"/>
    <w:rsid w:val="005C2558"/>
    <w:rsid w:val="0060105C"/>
    <w:rsid w:val="00611D1B"/>
    <w:rsid w:val="0062587D"/>
    <w:rsid w:val="00633ED1"/>
    <w:rsid w:val="006513A6"/>
    <w:rsid w:val="00694DCF"/>
    <w:rsid w:val="006E1592"/>
    <w:rsid w:val="006E17D5"/>
    <w:rsid w:val="006F3595"/>
    <w:rsid w:val="006F699A"/>
    <w:rsid w:val="007528A3"/>
    <w:rsid w:val="007976EF"/>
    <w:rsid w:val="007F7051"/>
    <w:rsid w:val="0080311C"/>
    <w:rsid w:val="00816EAA"/>
    <w:rsid w:val="0083117F"/>
    <w:rsid w:val="00914A9F"/>
    <w:rsid w:val="00950415"/>
    <w:rsid w:val="009928B5"/>
    <w:rsid w:val="009B14A9"/>
    <w:rsid w:val="009B73FD"/>
    <w:rsid w:val="00A23B32"/>
    <w:rsid w:val="00A836E6"/>
    <w:rsid w:val="00AA768D"/>
    <w:rsid w:val="00AC0A86"/>
    <w:rsid w:val="00B32283"/>
    <w:rsid w:val="00B82D34"/>
    <w:rsid w:val="00BE40A4"/>
    <w:rsid w:val="00C32A04"/>
    <w:rsid w:val="00C60C5A"/>
    <w:rsid w:val="00C76E97"/>
    <w:rsid w:val="00C8406D"/>
    <w:rsid w:val="00CD5F72"/>
    <w:rsid w:val="00CF2743"/>
    <w:rsid w:val="00D87E33"/>
    <w:rsid w:val="00D91BF2"/>
    <w:rsid w:val="00DC62CC"/>
    <w:rsid w:val="00E40419"/>
    <w:rsid w:val="00E434DF"/>
    <w:rsid w:val="00E964F5"/>
    <w:rsid w:val="00EC21FC"/>
    <w:rsid w:val="00F258A1"/>
    <w:rsid w:val="00F922DB"/>
    <w:rsid w:val="00F92BB5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8EED2"/>
  <w15:chartTrackingRefBased/>
  <w15:docId w15:val="{B6B595A4-E340-45C8-ACAF-D5F86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5</cp:revision>
  <cp:lastPrinted>2021-08-05T06:22:00Z</cp:lastPrinted>
  <dcterms:created xsi:type="dcterms:W3CDTF">2024-12-02T12:28:00Z</dcterms:created>
  <dcterms:modified xsi:type="dcterms:W3CDTF">2025-01-21T12:04:00Z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