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7A0C5B62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E4302E">
        <w:rPr>
          <w:rFonts w:asciiTheme="minorHAnsi" w:eastAsia="Calibri" w:hAnsiTheme="minorHAnsi" w:cstheme="minorHAnsi"/>
          <w:sz w:val="22"/>
          <w:szCs w:val="22"/>
        </w:rPr>
        <w:t>20.02</w:t>
      </w:r>
      <w:r w:rsidR="00847E0A">
        <w:rPr>
          <w:rFonts w:asciiTheme="minorHAnsi" w:eastAsia="Calibri" w:hAnsiTheme="minorHAnsi" w:cstheme="minorHAnsi"/>
          <w:sz w:val="22"/>
          <w:szCs w:val="22"/>
        </w:rPr>
        <w:t>.2025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D4B73B2" w14:textId="710FAD9D" w:rsidR="002E6C34" w:rsidRPr="00D0149E" w:rsidRDefault="002E6C34" w:rsidP="00CA2D97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</w:rPr>
      </w:pPr>
      <w:r w:rsidRPr="00D0149E">
        <w:rPr>
          <w:rFonts w:ascii="Calibri" w:hAnsi="Calibri" w:cs="Calibri"/>
          <w:b/>
          <w:sz w:val="22"/>
          <w:szCs w:val="22"/>
        </w:rPr>
        <w:t>„</w:t>
      </w:r>
      <w:bookmarkStart w:id="0" w:name="_Hlk182919771"/>
      <w:r w:rsidR="00CA2D97" w:rsidRPr="00E525EB">
        <w:rPr>
          <w:rFonts w:asciiTheme="minorHAnsi" w:hAnsiTheme="minorHAnsi" w:cstheme="minorHAnsi"/>
          <w:b/>
          <w:sz w:val="22"/>
          <w:szCs w:val="22"/>
        </w:rPr>
        <w:t>Dostosowanie instalacji fotowoltaicznej ZPW Pilchowo w Szczecinie do wymagań OSD w zakresie zdalnego sterowania i komunikacji z systemem SCADA Operatora</w:t>
      </w:r>
      <w:bookmarkEnd w:id="0"/>
      <w:r>
        <w:rPr>
          <w:rFonts w:ascii="Calibri" w:hAnsi="Calibri" w:cs="Calibri"/>
          <w:b/>
          <w:sz w:val="22"/>
          <w:szCs w:val="22"/>
        </w:rPr>
        <w:t>”</w:t>
      </w:r>
    </w:p>
    <w:p w14:paraId="1B845A87" w14:textId="77777777" w:rsidR="00CC16BF" w:rsidRPr="00125E80" w:rsidRDefault="00CC16BF" w:rsidP="00CC16BF">
      <w:pPr>
        <w:tabs>
          <w:tab w:val="left" w:pos="540"/>
        </w:tabs>
        <w:jc w:val="center"/>
        <w:rPr>
          <w:rFonts w:ascii="Calibri" w:hAnsi="Calibri" w:cs="Calibri"/>
          <w:b/>
          <w:i/>
          <w:color w:val="002060"/>
          <w:sz w:val="22"/>
          <w:szCs w:val="22"/>
        </w:rPr>
      </w:pPr>
    </w:p>
    <w:p w14:paraId="2A26E94D" w14:textId="0DA2F1FD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73896C76" w:rsidR="003A140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</w:t>
      </w:r>
      <w:r w:rsidR="00813287">
        <w:rPr>
          <w:rFonts w:asciiTheme="minorHAnsi" w:hAnsiTheme="minorHAnsi" w:cstheme="minorHAnsi"/>
          <w:sz w:val="20"/>
          <w:szCs w:val="22"/>
          <w:lang w:eastAsia="pl-PL"/>
        </w:rPr>
        <w:t xml:space="preserve">(Dz.U. z 2023 r. poz. 1790)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oraz Załącznika nr 1 do Rozporządzenia Komisji (UE) nr 651/2014 z dnia 17 czerwca 2014 r. uznającego niektóre rodzaje pomocy za zgodne z rynkiem wewnętrznym w zastosowaniu art. 107 </w:t>
      </w:r>
      <w:r w:rsidR="002B00F6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i 108 Traktatu (Dz. Urz. UE L 187 z 26.06.2014, str.1, z późn. zm.).</w:t>
      </w:r>
    </w:p>
    <w:p w14:paraId="1621E480" w14:textId="77777777" w:rsidR="00813287" w:rsidRDefault="00813287" w:rsidP="00813287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0E0F54" w14:textId="3CE41C63" w:rsidR="00813287" w:rsidRPr="00813287" w:rsidRDefault="00813287" w:rsidP="0081328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796EBBA4" w14:textId="77777777" w:rsidR="00813287" w:rsidRPr="00813287" w:rsidRDefault="00813287" w:rsidP="00813287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28217046" w14:textId="77777777" w:rsidR="00813287" w:rsidRPr="00813287" w:rsidRDefault="00813287" w:rsidP="00813287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730EEFAF" w14:textId="77777777" w:rsidR="00813287" w:rsidRPr="004E6B4C" w:rsidRDefault="00813287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69B8FE" w14:textId="3ED89D74" w:rsidR="00CC16BF" w:rsidRPr="00CC16BF" w:rsidRDefault="0014109E" w:rsidP="001C669A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6EEEBC18" w14:textId="77777777" w:rsidR="00CA2D97" w:rsidRDefault="00CA2D97" w:rsidP="00CA2D97">
      <w:pPr>
        <w:pStyle w:val="Akapitzlist"/>
        <w:numPr>
          <w:ilvl w:val="0"/>
          <w:numId w:val="33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A2D97">
        <w:rPr>
          <w:rFonts w:asciiTheme="minorHAnsi" w:hAnsiTheme="minorHAnsi" w:cstheme="minorHAnsi"/>
          <w:sz w:val="22"/>
          <w:szCs w:val="22"/>
          <w:lang w:eastAsia="pl-PL"/>
        </w:rPr>
        <w:t>Przedmiotem zamówienia jest wykonanie systemu zdalnego sterowania, łączności i komunikacji z systemem SCADA Operatora (Enea Operator Sp. z o.o.) umożliwiającego zmianę generacji mocy czynnej i biernej lub wyłączenie instalacji fotowoltaicznej ZPW Pilchowo.</w:t>
      </w:r>
    </w:p>
    <w:p w14:paraId="7A101157" w14:textId="135E95F5" w:rsidR="00CA2D97" w:rsidRPr="007173B9" w:rsidRDefault="00CA2D97" w:rsidP="00CA2D97">
      <w:pPr>
        <w:pStyle w:val="Akapitzlist"/>
        <w:numPr>
          <w:ilvl w:val="0"/>
          <w:numId w:val="33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A2D97">
        <w:rPr>
          <w:rFonts w:asciiTheme="minorHAnsi" w:hAnsiTheme="minorHAnsi" w:cstheme="minorHAnsi"/>
          <w:sz w:val="22"/>
          <w:szCs w:val="22"/>
          <w:lang w:eastAsia="pl-PL"/>
        </w:rPr>
        <w:t xml:space="preserve">System powinien </w:t>
      </w:r>
      <w:r w:rsidRPr="00A610C1">
        <w:rPr>
          <w:rFonts w:asciiTheme="minorHAnsi" w:hAnsiTheme="minorHAnsi" w:cstheme="minorHAnsi"/>
          <w:sz w:val="22"/>
          <w:szCs w:val="22"/>
          <w:lang w:eastAsia="pl-PL"/>
        </w:rPr>
        <w:t>spełniać wymagania IRIESD Operatora</w:t>
      </w:r>
      <w:r w:rsidR="00A610C1">
        <w:rPr>
          <w:rFonts w:asciiTheme="minorHAnsi" w:hAnsiTheme="minorHAnsi" w:cstheme="minorHAnsi"/>
          <w:sz w:val="22"/>
          <w:szCs w:val="22"/>
          <w:lang w:eastAsia="pl-PL"/>
        </w:rPr>
        <w:t xml:space="preserve"> (Załącznik nr 4 – pismo Enea Operator)</w:t>
      </w:r>
      <w:r w:rsidRPr="00CA2D97">
        <w:rPr>
          <w:rFonts w:asciiTheme="minorHAnsi" w:hAnsiTheme="minorHAnsi" w:cstheme="minorHAnsi"/>
          <w:sz w:val="22"/>
          <w:szCs w:val="22"/>
          <w:lang w:eastAsia="pl-PL"/>
        </w:rPr>
        <w:t xml:space="preserve"> i współpracować z funkcjonującą instalacją fotowoltaiczną ingerując w nią w najmniejszym stopniu. Należy w pełni zachować funkcjonalność instalacji lub zastosować rozwiązania zapewniające jej zachowanie (przekaz sygnałów do lokalnej SCADy, podgląd parametrów elektrowni i stacji pogodowej </w:t>
      </w:r>
      <w:r w:rsidRPr="00CA2D97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w dedykowanym portalu (obecnie Aurura Vision). W załączeniu projekt powykonawczy „Budowa farmy fotowoltaicznej o łącznej mocy 0,5 MW – ZPW </w:t>
      </w:r>
      <w:r w:rsidRPr="007173B9">
        <w:rPr>
          <w:rFonts w:asciiTheme="minorHAnsi" w:hAnsiTheme="minorHAnsi" w:cstheme="minorHAnsi"/>
          <w:sz w:val="22"/>
          <w:szCs w:val="22"/>
          <w:lang w:eastAsia="pl-PL"/>
        </w:rPr>
        <w:t xml:space="preserve">Pilchowo” (Załącznik nr </w:t>
      </w:r>
      <w:r w:rsidR="00171354">
        <w:rPr>
          <w:rFonts w:asciiTheme="minorHAnsi" w:hAnsiTheme="minorHAnsi" w:cstheme="minorHAnsi"/>
          <w:sz w:val="22"/>
          <w:szCs w:val="22"/>
          <w:lang w:eastAsia="pl-PL"/>
        </w:rPr>
        <w:t>3 do ZO</w:t>
      </w:r>
      <w:r w:rsidRPr="007173B9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14:paraId="76279E01" w14:textId="77777777" w:rsidR="00CA2D97" w:rsidRDefault="00CA2D97" w:rsidP="00CA2D97">
      <w:pPr>
        <w:pStyle w:val="Akapitzlist"/>
        <w:numPr>
          <w:ilvl w:val="0"/>
          <w:numId w:val="33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A2D97">
        <w:rPr>
          <w:rFonts w:asciiTheme="minorHAnsi" w:hAnsiTheme="minorHAnsi" w:cstheme="minorHAnsi"/>
          <w:sz w:val="22"/>
          <w:szCs w:val="22"/>
        </w:rPr>
        <w:t>Materiał potrzebny do realizacji usługi leży po stronie Wykonawcy.</w:t>
      </w:r>
    </w:p>
    <w:p w14:paraId="7A5C17F1" w14:textId="77777777" w:rsidR="00CA2D97" w:rsidRDefault="00CA2D97" w:rsidP="00CA2D97">
      <w:pPr>
        <w:pStyle w:val="Akapitzlist"/>
        <w:numPr>
          <w:ilvl w:val="0"/>
          <w:numId w:val="33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A2D97">
        <w:rPr>
          <w:rFonts w:asciiTheme="minorHAnsi" w:hAnsiTheme="minorHAnsi" w:cstheme="minorHAnsi"/>
          <w:sz w:val="22"/>
          <w:szCs w:val="22"/>
        </w:rPr>
        <w:t>Wykonawca opracuje dokumentację powykonawczą obejmującą wszelkie zmiany w urządzeniach, połączeniach, oprogr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A2D97">
        <w:rPr>
          <w:rFonts w:asciiTheme="minorHAnsi" w:hAnsiTheme="minorHAnsi" w:cstheme="minorHAnsi"/>
          <w:sz w:val="22"/>
          <w:szCs w:val="22"/>
        </w:rPr>
        <w:t>mowaniu.</w:t>
      </w:r>
    </w:p>
    <w:p w14:paraId="079715A2" w14:textId="009342FD" w:rsidR="00CA2D97" w:rsidRPr="007173B9" w:rsidRDefault="00CA2D97" w:rsidP="007173B9">
      <w:pPr>
        <w:pStyle w:val="Akapitzlist"/>
        <w:numPr>
          <w:ilvl w:val="0"/>
          <w:numId w:val="33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A2D97">
        <w:rPr>
          <w:rFonts w:asciiTheme="minorHAnsi" w:hAnsiTheme="minorHAnsi" w:cstheme="minorHAnsi"/>
          <w:sz w:val="22"/>
          <w:szCs w:val="22"/>
        </w:rPr>
        <w:t xml:space="preserve">W przypadku konieczności dokonania zmian w systemie SCADA Zamawiającego, należy przewidzieć współpracę z firmą Mercomp Szczecin Sp. z o.o., serwisującą system w ramach umowy.    </w:t>
      </w:r>
    </w:p>
    <w:p w14:paraId="4644AB6B" w14:textId="3A89ACA5" w:rsidR="00CA2D97" w:rsidRPr="00025B00" w:rsidRDefault="00186A22" w:rsidP="00CA2D97">
      <w:pPr>
        <w:pStyle w:val="Akapitzlist"/>
        <w:numPr>
          <w:ilvl w:val="0"/>
          <w:numId w:val="33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A2D97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CA2D97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CA2D97" w:rsidRPr="00CA2D97">
        <w:rPr>
          <w:rFonts w:asciiTheme="minorHAnsi" w:hAnsiTheme="minorHAnsi" w:cstheme="minorHAnsi"/>
          <w:sz w:val="22"/>
          <w:szCs w:val="22"/>
          <w:lang w:eastAsia="pl-PL"/>
        </w:rPr>
        <w:t xml:space="preserve"> obejmuje: próby uruchomienie i odbiór przez </w:t>
      </w:r>
      <w:r w:rsidR="00CA2D97" w:rsidRPr="00A610C1">
        <w:rPr>
          <w:rFonts w:asciiTheme="minorHAnsi" w:hAnsiTheme="minorHAnsi" w:cstheme="minorHAnsi"/>
          <w:sz w:val="22"/>
          <w:szCs w:val="22"/>
          <w:lang w:eastAsia="pl-PL"/>
        </w:rPr>
        <w:t xml:space="preserve">przedstawicieli OSD </w:t>
      </w:r>
      <w:r w:rsidR="00CA2D97" w:rsidRPr="00A610C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 31 marca 2025 r.</w:t>
      </w:r>
    </w:p>
    <w:p w14:paraId="4EB0F9D3" w14:textId="01619D55" w:rsidR="00025B00" w:rsidRPr="00CA2D97" w:rsidRDefault="00025B00" w:rsidP="00CA2D97">
      <w:pPr>
        <w:pStyle w:val="Akapitzlist"/>
        <w:numPr>
          <w:ilvl w:val="0"/>
          <w:numId w:val="33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Wykonawca udzieli 36 miesięcznej gwarancji i rękojmi na wykonane prace.</w:t>
      </w:r>
    </w:p>
    <w:p w14:paraId="410C9B74" w14:textId="4EEE75A1" w:rsidR="00861B06" w:rsidRPr="00CA2D97" w:rsidRDefault="00E16C73" w:rsidP="00CA2D97">
      <w:pPr>
        <w:pStyle w:val="Akapitzlist"/>
        <w:numPr>
          <w:ilvl w:val="0"/>
          <w:numId w:val="33"/>
        </w:numPr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A2D97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CA2D97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CA2D97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CA2D97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CA2D9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F80C4F" w:rsidRPr="00CA2D97">
        <w:rPr>
          <w:rFonts w:asciiTheme="minorHAnsi" w:hAnsiTheme="minorHAnsi" w:cstheme="minorHAnsi"/>
          <w:sz w:val="22"/>
          <w:szCs w:val="22"/>
          <w:lang w:eastAsia="pl-PL"/>
        </w:rPr>
        <w:t>usługi</w:t>
      </w:r>
      <w:r w:rsidR="007C06C9" w:rsidRPr="00CA2D97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CA2D97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CA2D97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 w:rsidRPr="00CA2D9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A2D97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4085A323" w14:textId="77777777" w:rsidR="001C134B" w:rsidRPr="002B00F6" w:rsidRDefault="001C134B" w:rsidP="001C134B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806FAA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5ECAD23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5EEE03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81BA6B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37D6CDE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6A635E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716F3CC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537B9846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478DAA8B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0D46CA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0598B4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63FF9C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6F5D435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 xml:space="preserve">m.in. następujące informacje: nazwę </w:t>
      </w:r>
      <w:r w:rsidRPr="006A175D">
        <w:rPr>
          <w:rFonts w:asciiTheme="minorHAnsi" w:hAnsiTheme="minorHAnsi" w:cstheme="minorHAnsi"/>
          <w:sz w:val="22"/>
          <w:szCs w:val="22"/>
        </w:rPr>
        <w:lastRenderedPageBreak/>
        <w:t>przedmiotu zamówienia, cenę jednostkową netto, termin płatności, termin wykonania usługi, termin związania ofertą, wymagane oświadczenia.</w:t>
      </w:r>
    </w:p>
    <w:p w14:paraId="67ED65D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19684E5C" w14:textId="77777777" w:rsidR="002A0C8B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56B64569" w14:textId="61D04AD5" w:rsidR="003255A7" w:rsidRDefault="002A0C8B" w:rsidP="00B41AB8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ED3B469" w14:textId="77777777" w:rsidR="001C134B" w:rsidRPr="002B00F6" w:rsidRDefault="001C134B" w:rsidP="001C134B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2B00F6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2D4F0C3D" w:rsidR="007A1106" w:rsidRPr="00E525EB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 warunk</w:t>
      </w:r>
      <w:r w:rsidR="00CA2D97"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16C1D9A9" w14:textId="77777777" w:rsidR="00E525EB" w:rsidRPr="00E525EB" w:rsidRDefault="00E525EB" w:rsidP="00E525EB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25E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dotyczą:</w:t>
      </w:r>
    </w:p>
    <w:p w14:paraId="25C7E577" w14:textId="77777777" w:rsidR="00E525EB" w:rsidRPr="00E525EB" w:rsidRDefault="00E525EB" w:rsidP="00E525EB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eastAsia="en-US"/>
        </w:rPr>
      </w:pPr>
      <w:r w:rsidRPr="00E525E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zdolności technicznej lub zawodowej.</w:t>
      </w:r>
    </w:p>
    <w:p w14:paraId="00BABB22" w14:textId="77777777" w:rsidR="00E525EB" w:rsidRPr="00E525EB" w:rsidRDefault="00E525EB" w:rsidP="00E525EB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25EB">
        <w:rPr>
          <w:rFonts w:asciiTheme="minorHAnsi" w:hAnsiTheme="minorHAnsi" w:cstheme="minorHAnsi"/>
          <w:color w:val="000000"/>
          <w:sz w:val="22"/>
          <w:szCs w:val="22"/>
        </w:rPr>
        <w:t>Zamawiający uzna, że Wykonawca posiada wymagane zdolności techniczne lub zawodowe zapewniające należyte wykonanie zamówienia, jeżeli Wykonawca wykaże, że:</w:t>
      </w:r>
    </w:p>
    <w:p w14:paraId="2CCCE467" w14:textId="60B3434C" w:rsidR="00E525EB" w:rsidRPr="00E525EB" w:rsidRDefault="00E525EB" w:rsidP="00E525EB">
      <w:pPr>
        <w:pStyle w:val="Akapitzlist"/>
        <w:numPr>
          <w:ilvl w:val="0"/>
          <w:numId w:val="35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525EB">
        <w:rPr>
          <w:rFonts w:asciiTheme="minorHAnsi" w:hAnsiTheme="minorHAnsi" w:cstheme="minorHAnsi"/>
          <w:sz w:val="22"/>
          <w:szCs w:val="22"/>
        </w:rPr>
        <w:t xml:space="preserve">dysponuje lub będzie dysponować pracownikiem posiadającymi uprawnienia kwalifikacyjne typu E do zajmowania się eksploatacją urządzeń, instalacji i sieci elektroenergetycznych grupy 1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E525EB">
        <w:rPr>
          <w:rFonts w:asciiTheme="minorHAnsi" w:hAnsiTheme="minorHAnsi" w:cstheme="minorHAnsi"/>
          <w:sz w:val="22"/>
          <w:szCs w:val="22"/>
        </w:rPr>
        <w:t>w zakresie obsługi, konserwacji, remontów, montażu, kontrolno-pomiarowym na stanowisku eksploatacji na:</w:t>
      </w:r>
    </w:p>
    <w:p w14:paraId="2E5ED87B" w14:textId="77777777" w:rsidR="00E525EB" w:rsidRPr="00E525EB" w:rsidRDefault="00E525EB" w:rsidP="00E525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E525EB">
        <w:rPr>
          <w:rFonts w:asciiTheme="minorHAnsi" w:hAnsiTheme="minorHAnsi" w:cstheme="minorHAnsi"/>
          <w:sz w:val="22"/>
          <w:szCs w:val="22"/>
        </w:rPr>
        <w:t xml:space="preserve">urządzenia, instalacje i sieci elektroenergetyczne o napięciu nie wyższym niż 1 kV,  </w:t>
      </w:r>
    </w:p>
    <w:p w14:paraId="2307FCCE" w14:textId="77777777" w:rsidR="00E525EB" w:rsidRPr="00E525EB" w:rsidRDefault="00E525EB" w:rsidP="00E525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E525EB">
        <w:rPr>
          <w:rFonts w:asciiTheme="minorHAnsi" w:hAnsiTheme="minorHAnsi" w:cstheme="minorHAnsi"/>
          <w:sz w:val="22"/>
          <w:szCs w:val="22"/>
        </w:rPr>
        <w:t xml:space="preserve">urządzenia prądotwórcze przyłączone do sieci przesyłowej lub dystrybucyjnej energii elektrycznej bez względu na wysokość napięcia znamionowego, </w:t>
      </w:r>
    </w:p>
    <w:p w14:paraId="59964460" w14:textId="6808573F" w:rsidR="00E525EB" w:rsidRPr="00E525EB" w:rsidRDefault="00E525EB" w:rsidP="00E525EB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E525EB">
        <w:rPr>
          <w:rFonts w:asciiTheme="minorHAnsi" w:hAnsiTheme="minorHAnsi" w:cstheme="minorHAnsi"/>
          <w:sz w:val="22"/>
          <w:szCs w:val="22"/>
        </w:rPr>
        <w:t xml:space="preserve">aparaturę  kontrolno-pomiarową  oraz  urządzenia  i  instalacje  automatycznej  regulacji, sterowania i zabezpieczeń do w/w urządzeń i instalacji, </w:t>
      </w:r>
    </w:p>
    <w:p w14:paraId="74CA065E" w14:textId="15C43D75" w:rsidR="00E525EB" w:rsidRPr="00E525EB" w:rsidRDefault="00E525EB" w:rsidP="00E525EB">
      <w:pPr>
        <w:pStyle w:val="Akapitzlist"/>
        <w:numPr>
          <w:ilvl w:val="0"/>
          <w:numId w:val="35"/>
        </w:numPr>
        <w:tabs>
          <w:tab w:val="left" w:pos="851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E525EB">
        <w:rPr>
          <w:rFonts w:asciiTheme="minorHAnsi" w:hAnsiTheme="minorHAnsi" w:cstheme="minorHAnsi"/>
          <w:sz w:val="22"/>
          <w:szCs w:val="22"/>
        </w:rPr>
        <w:t xml:space="preserve">dysponuje lub będzie dysponować pracownikiem posiadającym uprawnienia kwalifikacyjne typu D do zajmowania się eksploatacją urządzeń, instalacji i sieci elektroenergetycznych grupy 1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Pr="00E525EB">
        <w:rPr>
          <w:rFonts w:asciiTheme="minorHAnsi" w:hAnsiTheme="minorHAnsi" w:cstheme="minorHAnsi"/>
          <w:sz w:val="22"/>
          <w:szCs w:val="22"/>
        </w:rPr>
        <w:t>w zakresie obsługi, konserwacji, remontów, montażu, kontrolno-pomiarowym na stanowisku eksploatacji na:</w:t>
      </w:r>
    </w:p>
    <w:p w14:paraId="7E5EE0E2" w14:textId="77777777" w:rsidR="00E525EB" w:rsidRPr="00E525EB" w:rsidRDefault="00E525EB" w:rsidP="00E525EB">
      <w:pPr>
        <w:pStyle w:val="Akapitzlist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E525EB">
        <w:rPr>
          <w:rFonts w:asciiTheme="minorHAnsi" w:hAnsiTheme="minorHAnsi" w:cstheme="minorHAnsi"/>
          <w:sz w:val="22"/>
          <w:szCs w:val="22"/>
        </w:rPr>
        <w:t xml:space="preserve">urządzenia, instalacje i sieci elektroenergetyczne o napięciu nie wyższym niż 1 kV,  </w:t>
      </w:r>
    </w:p>
    <w:p w14:paraId="46883FB1" w14:textId="77777777" w:rsidR="00E525EB" w:rsidRPr="00E525EB" w:rsidRDefault="00E525EB" w:rsidP="00E525EB">
      <w:pPr>
        <w:pStyle w:val="Akapitzlist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E525EB">
        <w:rPr>
          <w:rFonts w:asciiTheme="minorHAnsi" w:hAnsiTheme="minorHAnsi" w:cstheme="minorHAnsi"/>
          <w:sz w:val="22"/>
          <w:szCs w:val="22"/>
        </w:rPr>
        <w:t xml:space="preserve">urządzenia prądotwórcze przyłączone do sieci przesyłowej lub dystrybucyjnej energii elektrycznej bez względu na wysokość napięcia znamionowego, </w:t>
      </w:r>
    </w:p>
    <w:p w14:paraId="6B7A0DA2" w14:textId="2B2288FB" w:rsidR="00E525EB" w:rsidRDefault="00E525EB" w:rsidP="00E525EB">
      <w:pPr>
        <w:pStyle w:val="Akapitzlist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E525EB">
        <w:rPr>
          <w:rFonts w:asciiTheme="minorHAnsi" w:hAnsiTheme="minorHAnsi" w:cstheme="minorHAnsi"/>
          <w:sz w:val="22"/>
          <w:szCs w:val="22"/>
        </w:rPr>
        <w:t>aparaturę  kontrolno-pomiarową  oraz  urządzenia  i  instalacje  automatycznej  regulacji, sterowania i zabezpieczeń do w/w urządzeń i instalacji</w:t>
      </w:r>
      <w:r w:rsidR="001B61BC">
        <w:rPr>
          <w:rFonts w:asciiTheme="minorHAnsi" w:hAnsiTheme="minorHAnsi" w:cstheme="minorHAnsi"/>
          <w:sz w:val="22"/>
          <w:szCs w:val="22"/>
        </w:rPr>
        <w:t>.</w:t>
      </w:r>
    </w:p>
    <w:p w14:paraId="66EDCA44" w14:textId="2F39EB47" w:rsidR="001B61BC" w:rsidRPr="001B61BC" w:rsidRDefault="001B61BC" w:rsidP="001B61BC">
      <w:pPr>
        <w:tabs>
          <w:tab w:val="left" w:pos="851"/>
        </w:tabs>
        <w:ind w:left="85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B61BC">
        <w:rPr>
          <w:rFonts w:asciiTheme="minorHAnsi" w:hAnsiTheme="minorHAnsi" w:cstheme="minorHAnsi"/>
          <w:sz w:val="22"/>
          <w:szCs w:val="22"/>
          <w:u w:val="single"/>
        </w:rPr>
        <w:t>Zamawiający dopuszcza łączenie powyższych stanowisk w pkt a) i b).</w:t>
      </w:r>
    </w:p>
    <w:p w14:paraId="5C16F0E1" w14:textId="4A935731" w:rsidR="001B61BC" w:rsidRPr="001B61BC" w:rsidRDefault="00E525EB" w:rsidP="001B61BC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E525EB">
        <w:rPr>
          <w:rFonts w:asciiTheme="minorHAnsi" w:hAnsiTheme="minorHAnsi" w:cstheme="minorHAnsi"/>
          <w:sz w:val="22"/>
          <w:szCs w:val="22"/>
        </w:rPr>
        <w:t>w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ykonał należycie w ciągu ostatnich 2 lat </w:t>
      </w:r>
      <w:r w:rsidRPr="00E525EB">
        <w:rPr>
          <w:rFonts w:asciiTheme="minorHAnsi" w:hAnsiTheme="minorHAnsi" w:cstheme="minorHAnsi"/>
          <w:sz w:val="22"/>
          <w:szCs w:val="22"/>
          <w:lang w:eastAsia="pl-PL"/>
        </w:rPr>
        <w:t>system zdalnego sterowania, łączności i komunikacji z systemem SCADA Operatora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 lub wykonał należycie taki system w ramach budowy instalacji OZE.</w:t>
      </w:r>
    </w:p>
    <w:p w14:paraId="4F6FA2B8" w14:textId="77777777" w:rsidR="007A1106" w:rsidRPr="00E525EB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E525EB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7DD794E0" w:rsidR="007A1106" w:rsidRPr="00E525EB" w:rsidRDefault="007A1106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E525EB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360C34D8" w:rsidR="0030182F" w:rsidRPr="00E525EB" w:rsidRDefault="0030182F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E525EB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E525E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E525EB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E525EB">
        <w:rPr>
          <w:rFonts w:asciiTheme="minorHAnsi" w:hAnsiTheme="minorHAnsi" w:cstheme="minorHAnsi"/>
          <w:sz w:val="22"/>
          <w:szCs w:val="22"/>
        </w:rPr>
        <w:br/>
      </w:r>
      <w:r w:rsidR="00D24A98" w:rsidRPr="00E525EB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</w:t>
      </w:r>
      <w:r w:rsidR="00E525EB" w:rsidRPr="00E525EB">
        <w:rPr>
          <w:rFonts w:asciiTheme="minorHAnsi" w:hAnsiTheme="minorHAnsi" w:cstheme="minorHAnsi"/>
          <w:sz w:val="22"/>
          <w:szCs w:val="22"/>
        </w:rPr>
        <w:t>;</w:t>
      </w:r>
    </w:p>
    <w:p w14:paraId="3DD519F9" w14:textId="7379FCDA" w:rsidR="0014109E" w:rsidRPr="00E525EB" w:rsidRDefault="007A1106" w:rsidP="001C669A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składania oświadczeń woli lub wiedzy w imieniu wykonawcy nie wynika z innych dokumentów złożonych przez Wykonawcę. 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Pełnomocnictwo/upoważnienie musi zostać podpisane przez osoby uprawnion</w:t>
      </w:r>
      <w:r w:rsidR="00C67F53" w:rsidRPr="00E525EB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545A41AE" w14:textId="5EE42DCC" w:rsidR="00D54586" w:rsidRPr="00E525EB" w:rsidRDefault="00900DF2" w:rsidP="002B00F6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E525EB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E525EB">
        <w:rPr>
          <w:rFonts w:asciiTheme="minorHAnsi" w:hAnsiTheme="minorHAnsi" w:cstheme="minorHAnsi"/>
          <w:sz w:val="22"/>
          <w:szCs w:val="22"/>
        </w:rPr>
        <w:br/>
      </w:r>
      <w:r w:rsidRPr="00E525EB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B3ED5" w:rsidRPr="00E525EB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E525EB" w:rsidRPr="00E525EB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93E81A6" w14:textId="51204FBA" w:rsidR="00E525EB" w:rsidRPr="00AD688D" w:rsidRDefault="00E525EB" w:rsidP="00E525EB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D688D">
        <w:rPr>
          <w:rFonts w:asciiTheme="minorHAnsi" w:hAnsiTheme="minorHAnsi" w:cstheme="minorHAnsi"/>
          <w:b/>
          <w:iCs/>
          <w:sz w:val="22"/>
          <w:szCs w:val="22"/>
        </w:rPr>
        <w:t xml:space="preserve">wykaz usług </w:t>
      </w:r>
      <w:r w:rsidRPr="00AD688D">
        <w:rPr>
          <w:rFonts w:asciiTheme="minorHAnsi" w:hAnsiTheme="minorHAnsi" w:cstheme="minorHAnsi"/>
          <w:iCs/>
          <w:sz w:val="22"/>
          <w:szCs w:val="22"/>
        </w:rPr>
        <w:t xml:space="preserve">wykonanych wg wymagań określonych w rozdziale III pkt 1.1) </w:t>
      </w:r>
      <w:r>
        <w:rPr>
          <w:rFonts w:asciiTheme="minorHAnsi" w:hAnsiTheme="minorHAnsi" w:cstheme="minorHAnsi"/>
          <w:iCs/>
          <w:sz w:val="22"/>
          <w:szCs w:val="22"/>
        </w:rPr>
        <w:t>c</w:t>
      </w:r>
      <w:r w:rsidRPr="00AD688D">
        <w:rPr>
          <w:rFonts w:asciiTheme="minorHAnsi" w:hAnsiTheme="minorHAnsi" w:cstheme="minorHAnsi"/>
          <w:iCs/>
          <w:sz w:val="22"/>
          <w:szCs w:val="22"/>
        </w:rPr>
        <w:t xml:space="preserve">) zapytania ofertowego, a w przypadku świadczeń powtarzających się lub ciągłych również wykonywanych, w okresie ostatnich </w:t>
      </w:r>
      <w:r>
        <w:rPr>
          <w:rFonts w:asciiTheme="minorHAnsi" w:hAnsiTheme="minorHAnsi" w:cstheme="minorHAnsi"/>
          <w:iCs/>
          <w:sz w:val="22"/>
          <w:szCs w:val="22"/>
        </w:rPr>
        <w:t>2</w:t>
      </w:r>
      <w:r w:rsidRPr="00AD688D">
        <w:rPr>
          <w:rFonts w:asciiTheme="minorHAnsi" w:hAnsiTheme="minorHAnsi" w:cstheme="minorHAnsi"/>
          <w:iCs/>
          <w:sz w:val="22"/>
          <w:szCs w:val="22"/>
        </w:rPr>
        <w:t xml:space="preserve">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których mowa wyżej, liczy się wstecz od dnia w którym upływa termin składania ofert.</w:t>
      </w:r>
    </w:p>
    <w:p w14:paraId="6E00AB86" w14:textId="0E431A93" w:rsidR="00E525EB" w:rsidRPr="00AD688D" w:rsidRDefault="00E525EB" w:rsidP="00E525EB">
      <w:pPr>
        <w:numPr>
          <w:ilvl w:val="0"/>
          <w:numId w:val="15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D688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</w:t>
      </w:r>
      <w:r w:rsidRPr="00AD688D">
        <w:rPr>
          <w:rFonts w:asciiTheme="minorHAnsi" w:hAnsiTheme="minorHAnsi" w:cstheme="minorHAnsi"/>
          <w:sz w:val="22"/>
          <w:szCs w:val="22"/>
          <w:lang w:eastAsia="ar-SA"/>
        </w:rPr>
        <w:t xml:space="preserve">wg wymagań z rozdziału III pkt 1.1)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a) i </w:t>
      </w:r>
      <w:r w:rsidRPr="00AD688D">
        <w:rPr>
          <w:rFonts w:asciiTheme="minorHAnsi" w:hAnsiTheme="minorHAnsi" w:cstheme="minorHAnsi"/>
          <w:sz w:val="22"/>
          <w:szCs w:val="22"/>
          <w:lang w:eastAsia="ar-SA"/>
        </w:rPr>
        <w:t>b) ZO</w:t>
      </w:r>
      <w:r w:rsidR="00CE00A5">
        <w:rPr>
          <w:rFonts w:asciiTheme="minorHAnsi" w:hAnsiTheme="minorHAnsi" w:cstheme="minorHAnsi"/>
          <w:sz w:val="22"/>
          <w:szCs w:val="22"/>
          <w:lang w:eastAsia="ar-SA"/>
        </w:rPr>
        <w:t xml:space="preserve"> wraz z kserokopiami potwierdzającymi dane wpisane do wykazu osób</w:t>
      </w:r>
      <w:r w:rsidRPr="00AD688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67A7FC99" w14:textId="77777777" w:rsidR="001C134B" w:rsidRPr="002B00F6" w:rsidRDefault="001C134B" w:rsidP="00E525EB">
      <w:p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6F7C9F" w14:textId="464296B8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BB447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03.03</w:t>
      </w:r>
      <w:r w:rsidR="00E4302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="00025B0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B0CC18B" w14:textId="2536881C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BB447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03.03.</w:t>
      </w:r>
      <w:r w:rsidR="00025B0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0C678180" w14:textId="3EE0F084" w:rsidR="004272D9" w:rsidRDefault="002A0C8B" w:rsidP="001C134B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5677C49B" w14:textId="77777777" w:rsidR="00E525EB" w:rsidRPr="001C134B" w:rsidRDefault="00E525EB" w:rsidP="00E525EB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1C669A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0307105"/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4042EA39" w14:textId="1CE9A24E" w:rsidR="00D54586" w:rsidRDefault="00582AA3" w:rsidP="002B00F6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  <w:bookmarkEnd w:id="1"/>
    </w:p>
    <w:p w14:paraId="4A044E38" w14:textId="77777777" w:rsidR="001C134B" w:rsidRPr="002B00F6" w:rsidRDefault="001C134B" w:rsidP="001C134B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1C669A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00467363" w14:textId="2C31A35E" w:rsidR="001C134B" w:rsidRPr="00E4302E" w:rsidRDefault="00FB453A" w:rsidP="00E525EB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</w:t>
      </w:r>
      <w:r w:rsidRPr="004E6B4C">
        <w:rPr>
          <w:rFonts w:asciiTheme="minorHAnsi" w:hAnsiTheme="minorHAnsi" w:cstheme="minorHAnsi"/>
          <w:sz w:val="22"/>
          <w:szCs w:val="22"/>
        </w:rPr>
        <w:lastRenderedPageBreak/>
        <w:t xml:space="preserve">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07552A10" w14:textId="77777777" w:rsidR="00E4302E" w:rsidRPr="00E525EB" w:rsidRDefault="00E4302E" w:rsidP="00E4302E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9DFD60D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Wykonawcy składający oferty dodatkowe, nie mogą zaoferować cen wyższych niż zaoferowane </w:t>
      </w:r>
      <w:r w:rsidR="004272D9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w złożonych pierwotnie ofertach.</w:t>
      </w:r>
    </w:p>
    <w:p w14:paraId="3F982364" w14:textId="29C55DA1" w:rsidR="00895093" w:rsidRDefault="003B089B" w:rsidP="003845D7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13A5B9F7" w14:textId="77777777" w:rsidR="001C134B" w:rsidRPr="003845D7" w:rsidRDefault="001C134B" w:rsidP="001C134B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3845D7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182757C" w14:textId="7D4AF429" w:rsidR="0057331D" w:rsidRDefault="0057331D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B3DEB8F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3F1DABAA" w14:textId="77777777" w:rsidR="0019669A" w:rsidRPr="0027151B" w:rsidRDefault="0019669A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br/>
        <w:t>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2DA220AA" w14:textId="66631AF9" w:rsidR="001C134B" w:rsidRDefault="0019326C" w:rsidP="00D87878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15A1CF97" w14:textId="77777777" w:rsidR="00D87878" w:rsidRPr="00D87878" w:rsidRDefault="00D87878" w:rsidP="00D87878">
      <w:pPr>
        <w:pStyle w:val="Tekstpodstawowywcity21"/>
        <w:suppressAutoHyphens/>
        <w:spacing w:before="120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PRZESŁANKI ODRZUCENIA OFERT</w:t>
      </w:r>
    </w:p>
    <w:p w14:paraId="1509E839" w14:textId="77777777" w:rsidR="003B089B" w:rsidRPr="004E6B4C" w:rsidRDefault="003B089B" w:rsidP="001C669A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4CD7524A" w14:textId="2321B35D" w:rsidR="003A0AF7" w:rsidRPr="00025B00" w:rsidRDefault="001F3CD7" w:rsidP="00F80C4F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025B0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0D729016" w14:textId="71A23BCB" w:rsidR="001C134B" w:rsidRPr="00D87878" w:rsidRDefault="00025B00" w:rsidP="00D87878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sposób.</w:t>
      </w:r>
    </w:p>
    <w:p w14:paraId="55F3E736" w14:textId="7B3FF11A" w:rsidR="00B41AB8" w:rsidRPr="004E6B4C" w:rsidRDefault="003B089B" w:rsidP="001C669A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101072E8" w:rsidR="003B089B" w:rsidRPr="004E6B4C" w:rsidRDefault="003B089B" w:rsidP="001C669A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F63C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63EBB62D" w14:textId="693B6447" w:rsidR="001C134B" w:rsidRDefault="003B089B" w:rsidP="00D87878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2682E80A" w14:textId="77777777" w:rsidR="00E4302E" w:rsidRPr="00D87878" w:rsidRDefault="00E4302E" w:rsidP="00E4302E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1C669A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1C669A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20B2F8C3" w14:textId="01357894" w:rsidR="001C134B" w:rsidRPr="00D87878" w:rsidRDefault="003B089B" w:rsidP="00D87878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0905D11D" w14:textId="6B121FCA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0AB009CE" w14:textId="2ECDAE8C" w:rsidR="001C134B" w:rsidRPr="00717FB5" w:rsidRDefault="003B089B" w:rsidP="00025B00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A3CF863" w14:textId="0EDFB2ED" w:rsidR="00813287" w:rsidRPr="00E525EB" w:rsidRDefault="00813287" w:rsidP="003845D7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525E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</w:t>
      </w:r>
      <w:r w:rsidR="006A7CD9" w:rsidRPr="00E525E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AWARCIE UMOWY</w:t>
      </w:r>
    </w:p>
    <w:p w14:paraId="292AD459" w14:textId="633B0063" w:rsidR="0049167A" w:rsidRPr="00E525EB" w:rsidRDefault="0049167A" w:rsidP="006A7CD9">
      <w:pPr>
        <w:numPr>
          <w:ilvl w:val="2"/>
          <w:numId w:val="32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525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według wzoru, stanowiącego </w:t>
      </w:r>
      <w:r w:rsidRPr="00E525E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17135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</w:t>
      </w:r>
      <w:r w:rsidRPr="00E525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 ofertowego. </w:t>
      </w:r>
    </w:p>
    <w:p w14:paraId="71490B45" w14:textId="75552804" w:rsidR="0049167A" w:rsidRPr="00E525EB" w:rsidRDefault="0049167A" w:rsidP="006A7CD9">
      <w:pPr>
        <w:numPr>
          <w:ilvl w:val="2"/>
          <w:numId w:val="32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525EB">
        <w:rPr>
          <w:rFonts w:asciiTheme="minorHAnsi" w:hAnsiTheme="minorHAnsi" w:cstheme="minorHAnsi"/>
          <w:sz w:val="22"/>
          <w:szCs w:val="22"/>
        </w:rPr>
        <w:t>Jeżeli Wykonawca, którego oferta została wybrana, uchyla się od zawarcia umowy (odmawia podpisania umowy), Zamawiający może wybrać ofertę najkorzystniejszą spośród pozostałych ofert bez przeprowadzania ich ponownego badania i oceny.</w:t>
      </w:r>
    </w:p>
    <w:p w14:paraId="1A424689" w14:textId="3A598F3D" w:rsidR="0049167A" w:rsidRPr="00E525EB" w:rsidRDefault="0049167A" w:rsidP="006A7CD9">
      <w:pPr>
        <w:numPr>
          <w:ilvl w:val="2"/>
          <w:numId w:val="32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525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Zawarta umowa będzie jawna i będzie podlegała udostępnianiu na zasadach określonych </w:t>
      </w:r>
      <w:r w:rsidR="006A7CD9" w:rsidRPr="00E525EB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E525EB">
        <w:rPr>
          <w:rFonts w:asciiTheme="minorHAnsi" w:hAnsiTheme="minorHAnsi" w:cstheme="minorHAnsi"/>
          <w:bCs/>
          <w:sz w:val="22"/>
          <w:szCs w:val="22"/>
          <w:lang w:eastAsia="pl-PL"/>
        </w:rPr>
        <w:t>w przepisach o dostępie do informacji publicznej.</w:t>
      </w:r>
    </w:p>
    <w:p w14:paraId="1950ED87" w14:textId="67DF9722" w:rsidR="00D87878" w:rsidRPr="00D87878" w:rsidRDefault="0049167A" w:rsidP="00D87878">
      <w:pPr>
        <w:numPr>
          <w:ilvl w:val="2"/>
          <w:numId w:val="32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525EB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Zapłata nastąpi na rachunek Wykonawcy wskazany na fakturze VAT, który musi być zgodny </w:t>
      </w:r>
      <w:r w:rsidRPr="00E525EB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</w:t>
      </w:r>
      <w:r w:rsidR="006A7CD9" w:rsidRPr="00E525EB">
        <w:rPr>
          <w:rFonts w:asciiTheme="minorHAnsi" w:hAnsiTheme="minorHAnsi" w:cstheme="minorHAnsi"/>
          <w:bCs/>
          <w:sz w:val="22"/>
          <w:szCs w:val="22"/>
          <w:lang w:eastAsia="pl-PL"/>
        </w:rPr>
        <w:t>Z</w:t>
      </w:r>
      <w:r w:rsidRPr="00E525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amawiającego. </w:t>
      </w:r>
    </w:p>
    <w:p w14:paraId="33AED64E" w14:textId="74BF28C9" w:rsidR="00D5069C" w:rsidRPr="004E6B4C" w:rsidRDefault="00D5069C" w:rsidP="0049167A">
      <w:pPr>
        <w:pStyle w:val="Akapitzlist"/>
        <w:numPr>
          <w:ilvl w:val="0"/>
          <w:numId w:val="32"/>
        </w:numPr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B23A6AA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</w:t>
      </w:r>
      <w:r w:rsidR="004272D9">
        <w:rPr>
          <w:rFonts w:asciiTheme="minorHAnsi" w:hAnsiTheme="minorHAnsi" w:cstheme="minorHAnsi"/>
          <w:b/>
          <w:sz w:val="20"/>
          <w:szCs w:val="22"/>
        </w:rPr>
        <w:br/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41BD77A3" w:rsidR="006B1429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, </w:t>
      </w:r>
      <w:r w:rsidR="004272D9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>ul. M. Golisza 10, 71-682 Szczecin.</w:t>
      </w:r>
    </w:p>
    <w:p w14:paraId="038C8048" w14:textId="1CA384AE" w:rsidR="006B1429" w:rsidRPr="003845D7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o. </w:t>
      </w:r>
      <w:r w:rsidR="004272D9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w Szczecinie tel. 91 44 26 231, adres e-mail: </w:t>
      </w:r>
      <w:hyperlink r:id="rId11" w:history="1">
        <w:r w:rsidRPr="003845D7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3845D7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212EF06" w:rsidR="006B1429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3845D7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3845D7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3845D7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  <w:r w:rsidR="003845D7">
        <w:rPr>
          <w:rFonts w:asciiTheme="minorHAnsi" w:hAnsiTheme="minorHAnsi" w:cstheme="minorHAnsi"/>
          <w:sz w:val="20"/>
          <w:szCs w:val="22"/>
          <w:lang w:eastAsia="pl-PL"/>
        </w:rPr>
        <w:t>.</w:t>
      </w:r>
    </w:p>
    <w:p w14:paraId="7100D90F" w14:textId="3CD83345" w:rsidR="006B1429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3845D7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3845D7">
      <w:pPr>
        <w:ind w:left="426" w:firstLine="425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3845D7">
      <w:pPr>
        <w:ind w:left="993" w:hanging="142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2E144906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2DAAE4D8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628DFAB0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54A749C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DB64F8B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6578D708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B5BC929" w14:textId="249768E8" w:rsidR="007173B9" w:rsidRPr="00025B00" w:rsidRDefault="006B1429" w:rsidP="00025B00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6F5CD3E3" w14:textId="2C7DA626" w:rsidR="00281C5F" w:rsidRPr="00E4302E" w:rsidRDefault="00281C5F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E4302E">
        <w:rPr>
          <w:rFonts w:asciiTheme="minorHAnsi" w:hAnsiTheme="minorHAnsi" w:cstheme="minorHAnsi"/>
          <w:sz w:val="20"/>
          <w:szCs w:val="20"/>
        </w:rPr>
        <w:t>Spis załączników:</w:t>
      </w:r>
    </w:p>
    <w:p w14:paraId="7262F5B5" w14:textId="4AD374D0" w:rsidR="006B63E0" w:rsidRPr="00A610C1" w:rsidRDefault="00281C5F" w:rsidP="00813287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  <w:r w:rsidRPr="00A610C1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1B3ED5" w:rsidRPr="00A610C1">
        <w:rPr>
          <w:rFonts w:asciiTheme="minorHAnsi" w:hAnsiTheme="minorHAnsi" w:cstheme="minorHAnsi"/>
          <w:sz w:val="20"/>
          <w:szCs w:val="20"/>
        </w:rPr>
        <w:t>nr 1 – formularz oferty cenowej</w:t>
      </w:r>
      <w:r w:rsidR="00813287" w:rsidRPr="00A610C1">
        <w:rPr>
          <w:rFonts w:asciiTheme="minorHAnsi" w:hAnsiTheme="minorHAnsi" w:cstheme="minorHAnsi"/>
          <w:sz w:val="20"/>
          <w:szCs w:val="20"/>
        </w:rPr>
        <w:t>.</w:t>
      </w:r>
      <w:r w:rsidR="007173B9" w:rsidRPr="00A610C1">
        <w:rPr>
          <w:rFonts w:asciiTheme="minorHAnsi" w:hAnsiTheme="minorHAnsi" w:cstheme="minorHAnsi"/>
          <w:sz w:val="20"/>
          <w:szCs w:val="20"/>
        </w:rPr>
        <w:t>,</w:t>
      </w:r>
    </w:p>
    <w:p w14:paraId="2D352847" w14:textId="049B4B50" w:rsidR="007173B9" w:rsidRPr="00A610C1" w:rsidRDefault="007173B9" w:rsidP="00813287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  <w:r w:rsidRPr="00A610C1">
        <w:rPr>
          <w:rFonts w:asciiTheme="minorHAnsi" w:hAnsiTheme="minorHAnsi" w:cstheme="minorHAnsi"/>
          <w:sz w:val="20"/>
          <w:szCs w:val="20"/>
        </w:rPr>
        <w:t xml:space="preserve">Załącznik nr 2 - </w:t>
      </w:r>
      <w:r w:rsidRPr="00A610C1">
        <w:rPr>
          <w:rFonts w:asciiTheme="minorHAnsi" w:hAnsiTheme="minorHAnsi" w:cstheme="minorHAnsi"/>
          <w:sz w:val="20"/>
          <w:szCs w:val="20"/>
          <w:lang w:eastAsia="pl-PL"/>
        </w:rPr>
        <w:t>projekt powykonawczy „Budowa farmy fotowoltaicznej o łącznej mocy 0,5 MW – ZPW Pilchowo”,</w:t>
      </w:r>
    </w:p>
    <w:p w14:paraId="18307BE2" w14:textId="05299065" w:rsidR="006A7CD9" w:rsidRPr="00A610C1" w:rsidRDefault="006A7CD9" w:rsidP="00813287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  <w:r w:rsidRPr="00A610C1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7173B9" w:rsidRPr="00A610C1">
        <w:rPr>
          <w:rFonts w:asciiTheme="minorHAnsi" w:hAnsiTheme="minorHAnsi" w:cstheme="minorHAnsi"/>
          <w:sz w:val="20"/>
          <w:szCs w:val="20"/>
        </w:rPr>
        <w:t>3</w:t>
      </w:r>
      <w:r w:rsidRPr="00A610C1">
        <w:rPr>
          <w:rFonts w:asciiTheme="minorHAnsi" w:hAnsiTheme="minorHAnsi" w:cstheme="minorHAnsi"/>
          <w:sz w:val="20"/>
          <w:szCs w:val="20"/>
        </w:rPr>
        <w:t xml:space="preserve"> – wzór umowy</w:t>
      </w:r>
      <w:r w:rsidR="00E4302E" w:rsidRPr="00A610C1">
        <w:rPr>
          <w:rFonts w:asciiTheme="minorHAnsi" w:hAnsiTheme="minorHAnsi" w:cstheme="minorHAnsi"/>
          <w:sz w:val="20"/>
          <w:szCs w:val="20"/>
        </w:rPr>
        <w:t>,</w:t>
      </w:r>
    </w:p>
    <w:p w14:paraId="26952D4A" w14:textId="14526AB0" w:rsidR="00E4302E" w:rsidRPr="00A610C1" w:rsidRDefault="00A610C1" w:rsidP="00813287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  <w:r w:rsidRPr="00A610C1">
        <w:rPr>
          <w:rFonts w:asciiTheme="minorHAnsi" w:hAnsiTheme="minorHAnsi" w:cstheme="minorHAnsi"/>
          <w:sz w:val="20"/>
          <w:szCs w:val="20"/>
        </w:rPr>
        <w:t>Załącznik nr 4 – pismo Enea Operator.</w:t>
      </w:r>
    </w:p>
    <w:sectPr w:rsidR="00E4302E" w:rsidRPr="00A610C1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918B" w14:textId="77777777" w:rsidR="00A60856" w:rsidRDefault="00A60856">
      <w:r>
        <w:separator/>
      </w:r>
    </w:p>
  </w:endnote>
  <w:endnote w:type="continuationSeparator" w:id="0">
    <w:p w14:paraId="46AE36D0" w14:textId="77777777" w:rsidR="00A60856" w:rsidRDefault="00A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3E18" w14:textId="77777777" w:rsidR="00A60856" w:rsidRDefault="00A60856">
      <w:r>
        <w:separator/>
      </w:r>
    </w:p>
  </w:footnote>
  <w:footnote w:type="continuationSeparator" w:id="0">
    <w:p w14:paraId="0C334A5D" w14:textId="77777777" w:rsidR="00A60856" w:rsidRDefault="00A6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D930B61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5E7970"/>
    <w:multiLevelType w:val="hybridMultilevel"/>
    <w:tmpl w:val="2CAE9D24"/>
    <w:lvl w:ilvl="0" w:tplc="9D00A9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67B50B1"/>
    <w:multiLevelType w:val="hybridMultilevel"/>
    <w:tmpl w:val="A8F686B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0B225B7E"/>
    <w:multiLevelType w:val="hybridMultilevel"/>
    <w:tmpl w:val="5F4C39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E235CF0"/>
    <w:multiLevelType w:val="hybridMultilevel"/>
    <w:tmpl w:val="5902FE5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5D4067"/>
    <w:multiLevelType w:val="multilevel"/>
    <w:tmpl w:val="CFB03B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b/>
      </w:rPr>
    </w:lvl>
  </w:abstractNum>
  <w:abstractNum w:abstractNumId="23" w15:restartNumberingAfterBreak="0">
    <w:nsid w:val="25915290"/>
    <w:multiLevelType w:val="hybridMultilevel"/>
    <w:tmpl w:val="D87E06C0"/>
    <w:lvl w:ilvl="0" w:tplc="2304A03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5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6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36D12989"/>
    <w:multiLevelType w:val="hybridMultilevel"/>
    <w:tmpl w:val="579C8A9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 w15:restartNumberingAfterBreak="0">
    <w:nsid w:val="38460F7B"/>
    <w:multiLevelType w:val="hybridMultilevel"/>
    <w:tmpl w:val="4F1A0CE8"/>
    <w:lvl w:ilvl="0" w:tplc="71F0635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390363F1"/>
    <w:multiLevelType w:val="hybridMultilevel"/>
    <w:tmpl w:val="38129D9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4E666E9"/>
    <w:multiLevelType w:val="hybridMultilevel"/>
    <w:tmpl w:val="3D6EEF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072FD6"/>
    <w:multiLevelType w:val="hybridMultilevel"/>
    <w:tmpl w:val="E8D602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C620356"/>
    <w:multiLevelType w:val="hybridMultilevel"/>
    <w:tmpl w:val="7850F1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CCA38DC"/>
    <w:multiLevelType w:val="hybridMultilevel"/>
    <w:tmpl w:val="10A8776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A5916"/>
    <w:multiLevelType w:val="hybridMultilevel"/>
    <w:tmpl w:val="44B2F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13640A"/>
    <w:multiLevelType w:val="hybridMultilevel"/>
    <w:tmpl w:val="BF442F40"/>
    <w:lvl w:ilvl="0" w:tplc="F20A15E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2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5" w15:restartNumberingAfterBreak="0">
    <w:nsid w:val="615E14D7"/>
    <w:multiLevelType w:val="multilevel"/>
    <w:tmpl w:val="B7942DC8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6A7B47BC"/>
    <w:multiLevelType w:val="hybridMultilevel"/>
    <w:tmpl w:val="793A0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B2373E4"/>
    <w:multiLevelType w:val="hybridMultilevel"/>
    <w:tmpl w:val="60D2E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B32DDD"/>
    <w:multiLevelType w:val="hybridMultilevel"/>
    <w:tmpl w:val="71508CF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14"/>
  </w:num>
  <w:num w:numId="4">
    <w:abstractNumId w:val="20"/>
  </w:num>
  <w:num w:numId="5">
    <w:abstractNumId w:val="28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46"/>
  </w:num>
  <w:num w:numId="9">
    <w:abstractNumId w:val="29"/>
  </w:num>
  <w:num w:numId="10">
    <w:abstractNumId w:val="50"/>
  </w:num>
  <w:num w:numId="11">
    <w:abstractNumId w:val="19"/>
  </w:num>
  <w:num w:numId="12">
    <w:abstractNumId w:val="35"/>
  </w:num>
  <w:num w:numId="13">
    <w:abstractNumId w:val="27"/>
  </w:num>
  <w:num w:numId="14">
    <w:abstractNumId w:val="26"/>
  </w:num>
  <w:num w:numId="15">
    <w:abstractNumId w:val="25"/>
  </w:num>
  <w:num w:numId="16">
    <w:abstractNumId w:val="51"/>
  </w:num>
  <w:num w:numId="17">
    <w:abstractNumId w:val="21"/>
  </w:num>
  <w:num w:numId="18">
    <w:abstractNumId w:val="23"/>
  </w:num>
  <w:num w:numId="19">
    <w:abstractNumId w:val="40"/>
  </w:num>
  <w:num w:numId="20">
    <w:abstractNumId w:val="37"/>
  </w:num>
  <w:num w:numId="21">
    <w:abstractNumId w:val="47"/>
  </w:num>
  <w:num w:numId="22">
    <w:abstractNumId w:val="36"/>
  </w:num>
  <w:num w:numId="23">
    <w:abstractNumId w:val="22"/>
  </w:num>
  <w:num w:numId="24">
    <w:abstractNumId w:val="48"/>
  </w:num>
  <w:num w:numId="25">
    <w:abstractNumId w:val="38"/>
  </w:num>
  <w:num w:numId="26">
    <w:abstractNumId w:val="10"/>
  </w:num>
  <w:num w:numId="27">
    <w:abstractNumId w:val="32"/>
  </w:num>
  <w:num w:numId="28">
    <w:abstractNumId w:val="31"/>
  </w:num>
  <w:num w:numId="29">
    <w:abstractNumId w:val="41"/>
  </w:num>
  <w:num w:numId="30">
    <w:abstractNumId w:val="34"/>
  </w:num>
  <w:num w:numId="31">
    <w:abstractNumId w:val="15"/>
  </w:num>
  <w:num w:numId="32">
    <w:abstractNumId w:val="45"/>
  </w:num>
  <w:num w:numId="33">
    <w:abstractNumId w:val="18"/>
  </w:num>
  <w:num w:numId="34">
    <w:abstractNumId w:val="16"/>
  </w:num>
  <w:num w:numId="35">
    <w:abstractNumId w:val="33"/>
  </w:num>
  <w:num w:numId="36">
    <w:abstractNumId w:val="49"/>
  </w:num>
  <w:num w:numId="3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25B00"/>
    <w:rsid w:val="00044F11"/>
    <w:rsid w:val="00045158"/>
    <w:rsid w:val="00047E09"/>
    <w:rsid w:val="000527C0"/>
    <w:rsid w:val="00062EAB"/>
    <w:rsid w:val="000714E6"/>
    <w:rsid w:val="00072EBA"/>
    <w:rsid w:val="00073F45"/>
    <w:rsid w:val="00076774"/>
    <w:rsid w:val="0008038B"/>
    <w:rsid w:val="000813FE"/>
    <w:rsid w:val="00082457"/>
    <w:rsid w:val="0009356E"/>
    <w:rsid w:val="00093BEC"/>
    <w:rsid w:val="00094014"/>
    <w:rsid w:val="000B62EE"/>
    <w:rsid w:val="000C108B"/>
    <w:rsid w:val="000C72A1"/>
    <w:rsid w:val="000D0575"/>
    <w:rsid w:val="000D1D1B"/>
    <w:rsid w:val="000D476E"/>
    <w:rsid w:val="000D5CD8"/>
    <w:rsid w:val="000E2A12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75"/>
    <w:rsid w:val="001657D7"/>
    <w:rsid w:val="00171354"/>
    <w:rsid w:val="00171711"/>
    <w:rsid w:val="00171F2E"/>
    <w:rsid w:val="00186A22"/>
    <w:rsid w:val="0019326C"/>
    <w:rsid w:val="0019669A"/>
    <w:rsid w:val="001A5D7A"/>
    <w:rsid w:val="001B3ED5"/>
    <w:rsid w:val="001B61BC"/>
    <w:rsid w:val="001C134B"/>
    <w:rsid w:val="001C45B6"/>
    <w:rsid w:val="001C669A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2DC6"/>
    <w:rsid w:val="00246C7C"/>
    <w:rsid w:val="0027151B"/>
    <w:rsid w:val="00273FC0"/>
    <w:rsid w:val="00281C5F"/>
    <w:rsid w:val="0028680C"/>
    <w:rsid w:val="00293274"/>
    <w:rsid w:val="00294162"/>
    <w:rsid w:val="00296061"/>
    <w:rsid w:val="00297CEC"/>
    <w:rsid w:val="002A0C8B"/>
    <w:rsid w:val="002A2DCA"/>
    <w:rsid w:val="002A7F0F"/>
    <w:rsid w:val="002B00F6"/>
    <w:rsid w:val="002B1E5A"/>
    <w:rsid w:val="002B2273"/>
    <w:rsid w:val="002D7F01"/>
    <w:rsid w:val="002E4E9C"/>
    <w:rsid w:val="002E6C34"/>
    <w:rsid w:val="002F0ABC"/>
    <w:rsid w:val="002F21EC"/>
    <w:rsid w:val="002F79A2"/>
    <w:rsid w:val="0030182F"/>
    <w:rsid w:val="003047BA"/>
    <w:rsid w:val="003074C1"/>
    <w:rsid w:val="003255A7"/>
    <w:rsid w:val="00325DB0"/>
    <w:rsid w:val="003345F3"/>
    <w:rsid w:val="00342ECB"/>
    <w:rsid w:val="0034505A"/>
    <w:rsid w:val="00346A56"/>
    <w:rsid w:val="00361F8E"/>
    <w:rsid w:val="003845D7"/>
    <w:rsid w:val="00391A78"/>
    <w:rsid w:val="00395541"/>
    <w:rsid w:val="003957CB"/>
    <w:rsid w:val="003A0AF7"/>
    <w:rsid w:val="003A1051"/>
    <w:rsid w:val="003A140B"/>
    <w:rsid w:val="003A40FC"/>
    <w:rsid w:val="003A4526"/>
    <w:rsid w:val="003B089B"/>
    <w:rsid w:val="003C2C20"/>
    <w:rsid w:val="003D101A"/>
    <w:rsid w:val="003E1F7A"/>
    <w:rsid w:val="003E280F"/>
    <w:rsid w:val="003E32F5"/>
    <w:rsid w:val="003E669F"/>
    <w:rsid w:val="00410124"/>
    <w:rsid w:val="00410175"/>
    <w:rsid w:val="0041341D"/>
    <w:rsid w:val="0041409D"/>
    <w:rsid w:val="0041548D"/>
    <w:rsid w:val="004272D9"/>
    <w:rsid w:val="00431F07"/>
    <w:rsid w:val="00453F02"/>
    <w:rsid w:val="00467FDF"/>
    <w:rsid w:val="0047107A"/>
    <w:rsid w:val="00477EDD"/>
    <w:rsid w:val="00481DD7"/>
    <w:rsid w:val="0049167A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44D7"/>
    <w:rsid w:val="004E4179"/>
    <w:rsid w:val="004E6B4C"/>
    <w:rsid w:val="004E72EC"/>
    <w:rsid w:val="004E7D13"/>
    <w:rsid w:val="00501F53"/>
    <w:rsid w:val="0050287B"/>
    <w:rsid w:val="00503884"/>
    <w:rsid w:val="00503ACD"/>
    <w:rsid w:val="0051407E"/>
    <w:rsid w:val="00523AE3"/>
    <w:rsid w:val="0052420E"/>
    <w:rsid w:val="00547376"/>
    <w:rsid w:val="0054748E"/>
    <w:rsid w:val="00551F46"/>
    <w:rsid w:val="0055381A"/>
    <w:rsid w:val="00562FA6"/>
    <w:rsid w:val="00565A2D"/>
    <w:rsid w:val="00565E8B"/>
    <w:rsid w:val="00566F95"/>
    <w:rsid w:val="005721E6"/>
    <w:rsid w:val="0057331D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D513A"/>
    <w:rsid w:val="005E4033"/>
    <w:rsid w:val="005E4F0C"/>
    <w:rsid w:val="005F0703"/>
    <w:rsid w:val="005F3B3C"/>
    <w:rsid w:val="00600FDB"/>
    <w:rsid w:val="00605800"/>
    <w:rsid w:val="00614276"/>
    <w:rsid w:val="00624E19"/>
    <w:rsid w:val="00627B53"/>
    <w:rsid w:val="00642AEF"/>
    <w:rsid w:val="0066218B"/>
    <w:rsid w:val="00662340"/>
    <w:rsid w:val="00663E17"/>
    <w:rsid w:val="006643AA"/>
    <w:rsid w:val="006654FC"/>
    <w:rsid w:val="00667231"/>
    <w:rsid w:val="00671D13"/>
    <w:rsid w:val="00683A7A"/>
    <w:rsid w:val="006950BC"/>
    <w:rsid w:val="006A3B18"/>
    <w:rsid w:val="006A7513"/>
    <w:rsid w:val="006A7CD9"/>
    <w:rsid w:val="006A7D1D"/>
    <w:rsid w:val="006B1429"/>
    <w:rsid w:val="006B63E0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701D5F"/>
    <w:rsid w:val="007173B9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631D7"/>
    <w:rsid w:val="0077786A"/>
    <w:rsid w:val="00792FBC"/>
    <w:rsid w:val="007930E8"/>
    <w:rsid w:val="007A001F"/>
    <w:rsid w:val="007A0B14"/>
    <w:rsid w:val="007A1106"/>
    <w:rsid w:val="007A2184"/>
    <w:rsid w:val="007C06C9"/>
    <w:rsid w:val="007C0801"/>
    <w:rsid w:val="007C1A19"/>
    <w:rsid w:val="007D66A0"/>
    <w:rsid w:val="007E1ECA"/>
    <w:rsid w:val="007E6A5F"/>
    <w:rsid w:val="007E7F1A"/>
    <w:rsid w:val="007F032E"/>
    <w:rsid w:val="0080053E"/>
    <w:rsid w:val="00803828"/>
    <w:rsid w:val="0080474D"/>
    <w:rsid w:val="00813287"/>
    <w:rsid w:val="0081453F"/>
    <w:rsid w:val="008149F5"/>
    <w:rsid w:val="00823279"/>
    <w:rsid w:val="00836968"/>
    <w:rsid w:val="00843A38"/>
    <w:rsid w:val="008464A2"/>
    <w:rsid w:val="00847E0A"/>
    <w:rsid w:val="0085165A"/>
    <w:rsid w:val="00852C30"/>
    <w:rsid w:val="008575BE"/>
    <w:rsid w:val="00861B06"/>
    <w:rsid w:val="0086633D"/>
    <w:rsid w:val="00871C97"/>
    <w:rsid w:val="00882E26"/>
    <w:rsid w:val="0088426F"/>
    <w:rsid w:val="00887470"/>
    <w:rsid w:val="00890892"/>
    <w:rsid w:val="00895093"/>
    <w:rsid w:val="00896E8E"/>
    <w:rsid w:val="008B7DAE"/>
    <w:rsid w:val="008D48CC"/>
    <w:rsid w:val="008D72EA"/>
    <w:rsid w:val="008E6057"/>
    <w:rsid w:val="008F26E0"/>
    <w:rsid w:val="008F792D"/>
    <w:rsid w:val="00900DF2"/>
    <w:rsid w:val="00901C64"/>
    <w:rsid w:val="00915F35"/>
    <w:rsid w:val="00917E6D"/>
    <w:rsid w:val="009223F8"/>
    <w:rsid w:val="00927088"/>
    <w:rsid w:val="009273A5"/>
    <w:rsid w:val="00931285"/>
    <w:rsid w:val="00932BB0"/>
    <w:rsid w:val="00943151"/>
    <w:rsid w:val="0094717B"/>
    <w:rsid w:val="00950249"/>
    <w:rsid w:val="00964B7F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E98"/>
    <w:rsid w:val="009E7741"/>
    <w:rsid w:val="009F1E55"/>
    <w:rsid w:val="009F212E"/>
    <w:rsid w:val="009F6A36"/>
    <w:rsid w:val="00A1274A"/>
    <w:rsid w:val="00A2524D"/>
    <w:rsid w:val="00A27F69"/>
    <w:rsid w:val="00A352D7"/>
    <w:rsid w:val="00A43553"/>
    <w:rsid w:val="00A60200"/>
    <w:rsid w:val="00A60856"/>
    <w:rsid w:val="00A610C1"/>
    <w:rsid w:val="00A70FC5"/>
    <w:rsid w:val="00A71569"/>
    <w:rsid w:val="00A731DC"/>
    <w:rsid w:val="00A75EA6"/>
    <w:rsid w:val="00A86431"/>
    <w:rsid w:val="00A87BD9"/>
    <w:rsid w:val="00A91FF2"/>
    <w:rsid w:val="00AA22FA"/>
    <w:rsid w:val="00AB3CF3"/>
    <w:rsid w:val="00AC09AE"/>
    <w:rsid w:val="00AC5638"/>
    <w:rsid w:val="00AD21FB"/>
    <w:rsid w:val="00AD71F8"/>
    <w:rsid w:val="00AD74A5"/>
    <w:rsid w:val="00AE4BF3"/>
    <w:rsid w:val="00AF315D"/>
    <w:rsid w:val="00B059AF"/>
    <w:rsid w:val="00B173A1"/>
    <w:rsid w:val="00B307B3"/>
    <w:rsid w:val="00B30ADD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B447E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076EA"/>
    <w:rsid w:val="00C1256A"/>
    <w:rsid w:val="00C157B3"/>
    <w:rsid w:val="00C23C72"/>
    <w:rsid w:val="00C254AF"/>
    <w:rsid w:val="00C2583D"/>
    <w:rsid w:val="00C25FF5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A2D97"/>
    <w:rsid w:val="00CB3096"/>
    <w:rsid w:val="00CB7C42"/>
    <w:rsid w:val="00CB7C8F"/>
    <w:rsid w:val="00CC16BF"/>
    <w:rsid w:val="00CC3A6C"/>
    <w:rsid w:val="00CC74E5"/>
    <w:rsid w:val="00CC77FB"/>
    <w:rsid w:val="00CE00A5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8D3"/>
    <w:rsid w:val="00D5069C"/>
    <w:rsid w:val="00D51F08"/>
    <w:rsid w:val="00D5308A"/>
    <w:rsid w:val="00D54586"/>
    <w:rsid w:val="00D54960"/>
    <w:rsid w:val="00D555AE"/>
    <w:rsid w:val="00D558CA"/>
    <w:rsid w:val="00D606B8"/>
    <w:rsid w:val="00D62F13"/>
    <w:rsid w:val="00D87878"/>
    <w:rsid w:val="00DA070D"/>
    <w:rsid w:val="00DA2C32"/>
    <w:rsid w:val="00DB21B1"/>
    <w:rsid w:val="00DC292B"/>
    <w:rsid w:val="00DC4173"/>
    <w:rsid w:val="00DC56BD"/>
    <w:rsid w:val="00DC6836"/>
    <w:rsid w:val="00DE3A57"/>
    <w:rsid w:val="00DF2122"/>
    <w:rsid w:val="00E04850"/>
    <w:rsid w:val="00E071A0"/>
    <w:rsid w:val="00E16C73"/>
    <w:rsid w:val="00E1710E"/>
    <w:rsid w:val="00E22D19"/>
    <w:rsid w:val="00E25169"/>
    <w:rsid w:val="00E26A7E"/>
    <w:rsid w:val="00E4302E"/>
    <w:rsid w:val="00E44835"/>
    <w:rsid w:val="00E46597"/>
    <w:rsid w:val="00E51A82"/>
    <w:rsid w:val="00E51DAA"/>
    <w:rsid w:val="00E525E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1299B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4B3C"/>
    <w:rsid w:val="00F756D8"/>
    <w:rsid w:val="00F75BBB"/>
    <w:rsid w:val="00F7606A"/>
    <w:rsid w:val="00F80C4F"/>
    <w:rsid w:val="00F80E4A"/>
    <w:rsid w:val="00F824D7"/>
    <w:rsid w:val="00F9689A"/>
    <w:rsid w:val="00FA1A0F"/>
    <w:rsid w:val="00FA595C"/>
    <w:rsid w:val="00FB0452"/>
    <w:rsid w:val="00FB1E4C"/>
    <w:rsid w:val="00FB34FE"/>
    <w:rsid w:val="00FB453A"/>
    <w:rsid w:val="00FB4D7D"/>
    <w:rsid w:val="00FC0EC3"/>
    <w:rsid w:val="00FC1AD1"/>
    <w:rsid w:val="00FC56FB"/>
    <w:rsid w:val="00FE7DEC"/>
    <w:rsid w:val="00FF1BF2"/>
    <w:rsid w:val="00FF449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93B5-D47C-4B7F-A4C1-83138AAA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3287</Words>
  <Characters>19722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22964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70</cp:revision>
  <cp:lastPrinted>2025-01-23T12:42:00Z</cp:lastPrinted>
  <dcterms:created xsi:type="dcterms:W3CDTF">2024-03-18T06:58:00Z</dcterms:created>
  <dcterms:modified xsi:type="dcterms:W3CDTF">2025-02-24T12:59:00Z</dcterms:modified>
</cp:coreProperties>
</file>