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00596C">
        <w:rPr>
          <w:b/>
        </w:rPr>
        <w:t>40 dni roboczych</w:t>
      </w:r>
      <w:r w:rsidR="00B0636B">
        <w:rPr>
          <w:b/>
        </w:rPr>
        <w:t xml:space="preserve"> od dnia </w:t>
      </w:r>
      <w:r w:rsidR="005E00D6">
        <w:rPr>
          <w:b/>
        </w:rPr>
        <w:t>podpisania umowy</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5E00D6" w:rsidRPr="009A1A8E" w:rsidRDefault="005E00D6" w:rsidP="005E00D6">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p>
    <w:p w:rsidR="005E00D6" w:rsidRPr="00F65964" w:rsidRDefault="005E00D6" w:rsidP="005E00D6">
      <w:pPr>
        <w:numPr>
          <w:ilvl w:val="0"/>
          <w:numId w:val="15"/>
        </w:numPr>
        <w:autoSpaceDE w:val="0"/>
        <w:autoSpaceDN w:val="0"/>
        <w:adjustRightInd w:val="0"/>
        <w:spacing w:after="0" w:line="240" w:lineRule="auto"/>
        <w:ind w:left="714" w:hanging="357"/>
        <w:jc w:val="both"/>
        <w:rPr>
          <w:rFonts w:ascii="Calibri" w:hAnsi="Calibri" w:cs="Calibri"/>
          <w:b/>
        </w:rPr>
      </w:pPr>
      <w:r w:rsidRPr="00F65964">
        <w:rPr>
          <w:rFonts w:ascii="Calibri" w:hAnsi="Calibri" w:cs="Calibri"/>
          <w:b/>
          <w:bCs/>
          <w:u w:val="single"/>
        </w:rPr>
        <w:t>aktualne na dzień składania ofert oświadczenie o braku podstaw do wykluczenia z postępowania (zgodnie z</w:t>
      </w:r>
      <w:r w:rsidRPr="00F65964">
        <w:rPr>
          <w:rFonts w:ascii="Calibri" w:hAnsi="Calibri" w:cs="Calibri"/>
          <w:b/>
          <w:u w:val="single"/>
        </w:rPr>
        <w:t xml:space="preserve"> </w:t>
      </w:r>
      <w:r w:rsidRPr="00F65964">
        <w:rPr>
          <w:rFonts w:ascii="Calibri" w:hAnsi="Calibri" w:cs="Calibri"/>
          <w:b/>
          <w:bCs/>
          <w:u w:val="single"/>
        </w:rPr>
        <w:t>Załącznikiem nr 1).</w:t>
      </w:r>
      <w:r w:rsidRPr="00F65964">
        <w:rPr>
          <w:rFonts w:ascii="Calibri" w:hAnsi="Calibri" w:cs="Calibri"/>
          <w:b/>
          <w:bCs/>
        </w:rPr>
        <w:t xml:space="preserve"> </w:t>
      </w:r>
      <w:r w:rsidRPr="00F65964">
        <w:rPr>
          <w:rFonts w:ascii="Calibri" w:hAnsi="Calibri" w:cs="Calibri"/>
          <w:b/>
        </w:rPr>
        <w:t xml:space="preserve">Oświadczenie powinno być podpisane elektronicznie lub dołączone w formie podpisanego ręcznie </w:t>
      </w:r>
      <w:proofErr w:type="spellStart"/>
      <w:r w:rsidRPr="00F65964">
        <w:rPr>
          <w:rFonts w:ascii="Calibri" w:hAnsi="Calibri" w:cs="Calibri"/>
          <w:b/>
        </w:rPr>
        <w:t>skanu</w:t>
      </w:r>
      <w:proofErr w:type="spellEnd"/>
      <w:r w:rsidRPr="00F65964">
        <w:rPr>
          <w:rFonts w:ascii="Calibri" w:hAnsi="Calibri" w:cs="Calibri"/>
          <w:b/>
        </w:rPr>
        <w:t>,</w:t>
      </w:r>
    </w:p>
    <w:p w:rsidR="00F65964" w:rsidRPr="00F65964" w:rsidRDefault="00F65964" w:rsidP="005E00D6">
      <w:pPr>
        <w:numPr>
          <w:ilvl w:val="0"/>
          <w:numId w:val="15"/>
        </w:numPr>
        <w:autoSpaceDE w:val="0"/>
        <w:autoSpaceDN w:val="0"/>
        <w:adjustRightInd w:val="0"/>
        <w:spacing w:after="0" w:line="240" w:lineRule="auto"/>
        <w:ind w:left="714" w:hanging="357"/>
        <w:jc w:val="both"/>
        <w:rPr>
          <w:rFonts w:ascii="Calibri" w:hAnsi="Calibri" w:cs="Calibri"/>
          <w:b/>
          <w:bCs/>
          <w:u w:val="single"/>
        </w:rPr>
      </w:pPr>
      <w:r w:rsidRPr="00F65964">
        <w:rPr>
          <w:rFonts w:ascii="Calibri" w:hAnsi="Calibri" w:cs="Calibri"/>
          <w:b/>
          <w:bCs/>
          <w:u w:val="single"/>
        </w:rPr>
        <w:t xml:space="preserve">dla szaf </w:t>
      </w:r>
      <w:r w:rsidRPr="00F65964">
        <w:rPr>
          <w:rFonts w:ascii="Calibri" w:hAnsi="Calibri" w:cs="Calibri"/>
          <w:b/>
          <w:u w:val="single"/>
        </w:rPr>
        <w:t>Kl. A Typ 1:</w:t>
      </w:r>
    </w:p>
    <w:p w:rsidR="00F65964" w:rsidRPr="00F65964" w:rsidRDefault="00F65964" w:rsidP="00F65964">
      <w:pPr>
        <w:autoSpaceDE w:val="0"/>
        <w:autoSpaceDN w:val="0"/>
        <w:adjustRightInd w:val="0"/>
        <w:spacing w:after="0" w:line="240" w:lineRule="auto"/>
        <w:ind w:left="714"/>
        <w:jc w:val="both"/>
        <w:rPr>
          <w:rFonts w:cstheme="minorHAnsi"/>
        </w:rPr>
      </w:pPr>
      <w:r w:rsidRPr="00F65964">
        <w:rPr>
          <w:rFonts w:ascii="Calibri" w:hAnsi="Calibri" w:cs="Calibri"/>
          <w:b/>
          <w:bCs/>
        </w:rPr>
        <w:t xml:space="preserve">- </w:t>
      </w:r>
      <w:r w:rsidRPr="00F65964">
        <w:rPr>
          <w:rFonts w:cstheme="minorHAnsi"/>
          <w:b/>
        </w:rPr>
        <w:t>Certyfikat</w:t>
      </w:r>
      <w:r w:rsidRPr="00F65964">
        <w:rPr>
          <w:rFonts w:cstheme="minorHAnsi"/>
        </w:rPr>
        <w:t xml:space="preserve"> zgodności dla szaf do przechowywania informacji  niejawnych potwierdzający zgodność szaf metalowych: z klasą wyrobu - </w:t>
      </w:r>
      <w:r w:rsidRPr="00F65964">
        <w:rPr>
          <w:rFonts w:cstheme="minorHAnsi"/>
          <w:b/>
        </w:rPr>
        <w:t>Typ 1</w:t>
      </w:r>
      <w:r w:rsidRPr="00F65964">
        <w:rPr>
          <w:rFonts w:cstheme="minorHAnsi"/>
        </w:rPr>
        <w:t xml:space="preserve"> wg Rozporządzenia Rady Ministrów  z </w:t>
      </w:r>
      <w:r w:rsidRPr="00F65964">
        <w:rPr>
          <w:rFonts w:cstheme="minorHAnsi"/>
        </w:rPr>
        <w:lastRenderedPageBreak/>
        <w:t>29.05.2012 r.  w sprawie środków bezpieczeństwa fizycznego stosowanych do zabezpieczania informacji niejawnych,</w:t>
      </w:r>
    </w:p>
    <w:p w:rsidR="00F65964" w:rsidRPr="00F65964" w:rsidRDefault="00F65964" w:rsidP="00F65964">
      <w:pPr>
        <w:autoSpaceDE w:val="0"/>
        <w:autoSpaceDN w:val="0"/>
        <w:adjustRightInd w:val="0"/>
        <w:spacing w:after="0" w:line="240" w:lineRule="auto"/>
        <w:ind w:left="714"/>
        <w:jc w:val="both"/>
        <w:rPr>
          <w:rFonts w:ascii="Calibri" w:hAnsi="Calibri" w:cs="Calibri"/>
          <w:b/>
          <w:bCs/>
        </w:rPr>
      </w:pPr>
      <w:r w:rsidRPr="00F65964">
        <w:rPr>
          <w:rFonts w:ascii="Calibri" w:hAnsi="Calibri" w:cs="Calibri"/>
          <w:b/>
          <w:bCs/>
        </w:rPr>
        <w:t xml:space="preserve">- </w:t>
      </w:r>
      <w:r w:rsidRPr="00F65964">
        <w:rPr>
          <w:rFonts w:cstheme="minorHAnsi"/>
          <w:b/>
        </w:rPr>
        <w:t>Certyfikat na montowane zamki</w:t>
      </w:r>
      <w:r w:rsidRPr="00F65964">
        <w:rPr>
          <w:rFonts w:cstheme="minorHAnsi"/>
        </w:rPr>
        <w:t xml:space="preserve"> </w:t>
      </w:r>
      <w:r w:rsidRPr="00F65964">
        <w:rPr>
          <w:rFonts w:cstheme="minorHAnsi"/>
          <w:b/>
        </w:rPr>
        <w:t xml:space="preserve"> </w:t>
      </w:r>
      <w:r w:rsidRPr="00F65964">
        <w:rPr>
          <w:rFonts w:cstheme="minorHAnsi"/>
        </w:rPr>
        <w:t>- zastosowane w nich zamki  zgodne z wymaganiami stawianymi szafom do przechowywania dokumentów niejawnych  zawartych w Rozporządzeniu Rady Ministrów z dnia 29.05.2012 r.</w:t>
      </w:r>
    </w:p>
    <w:p w:rsidR="005E00D6" w:rsidRPr="00F65964" w:rsidRDefault="00F65964" w:rsidP="005E00D6">
      <w:pPr>
        <w:numPr>
          <w:ilvl w:val="0"/>
          <w:numId w:val="15"/>
        </w:numPr>
        <w:autoSpaceDE w:val="0"/>
        <w:autoSpaceDN w:val="0"/>
        <w:adjustRightInd w:val="0"/>
        <w:spacing w:after="0" w:line="240" w:lineRule="auto"/>
        <w:ind w:left="714" w:hanging="357"/>
        <w:jc w:val="both"/>
        <w:rPr>
          <w:rFonts w:ascii="Calibri" w:hAnsi="Calibri" w:cs="Calibri"/>
          <w:b/>
          <w:bCs/>
          <w:u w:val="single"/>
        </w:rPr>
      </w:pPr>
      <w:r w:rsidRPr="00F65964">
        <w:rPr>
          <w:rFonts w:ascii="Calibri" w:hAnsi="Calibri" w:cs="Calibri"/>
          <w:b/>
          <w:bCs/>
          <w:u w:val="single"/>
        </w:rPr>
        <w:t xml:space="preserve">dla szaf </w:t>
      </w:r>
      <w:r w:rsidRPr="00F65964">
        <w:rPr>
          <w:rFonts w:ascii="Calibri" w:hAnsi="Calibri" w:cs="Calibri"/>
          <w:b/>
          <w:u w:val="single"/>
        </w:rPr>
        <w:t>Kl. S 1 typ 2</w:t>
      </w:r>
      <w:r w:rsidRPr="00F65964">
        <w:rPr>
          <w:rFonts w:ascii="Calibri" w:hAnsi="Calibri" w:cs="Calibri"/>
          <w:b/>
          <w:bCs/>
          <w:u w:val="single"/>
        </w:rPr>
        <w:t>:</w:t>
      </w:r>
    </w:p>
    <w:p w:rsidR="00F65964" w:rsidRPr="00F65964" w:rsidRDefault="00F65964" w:rsidP="00F65964">
      <w:pPr>
        <w:pStyle w:val="Akapitzlist"/>
        <w:autoSpaceDE w:val="0"/>
        <w:autoSpaceDN w:val="0"/>
        <w:adjustRightInd w:val="0"/>
        <w:spacing w:after="0" w:line="240" w:lineRule="auto"/>
        <w:jc w:val="both"/>
        <w:rPr>
          <w:rFonts w:cstheme="minorHAnsi"/>
        </w:rPr>
      </w:pPr>
      <w:r w:rsidRPr="00F65964">
        <w:rPr>
          <w:rFonts w:ascii="Calibri" w:hAnsi="Calibri" w:cs="Calibri"/>
          <w:b/>
          <w:bCs/>
        </w:rPr>
        <w:t xml:space="preserve">- </w:t>
      </w:r>
      <w:r w:rsidRPr="00F65964">
        <w:rPr>
          <w:rFonts w:cstheme="minorHAnsi"/>
          <w:b/>
        </w:rPr>
        <w:t xml:space="preserve">Certyfikat </w:t>
      </w:r>
      <w:r w:rsidRPr="00F65964">
        <w:rPr>
          <w:rFonts w:cstheme="minorHAnsi"/>
        </w:rPr>
        <w:t xml:space="preserve">zgodności dla szaf do przechowywania </w:t>
      </w:r>
      <w:r w:rsidRPr="00F65964">
        <w:rPr>
          <w:rFonts w:cstheme="minorHAnsi"/>
          <w:b/>
        </w:rPr>
        <w:t>informacji niejawnych</w:t>
      </w:r>
      <w:r w:rsidRPr="00F65964">
        <w:rPr>
          <w:rFonts w:cstheme="minorHAnsi"/>
        </w:rPr>
        <w:t xml:space="preserve"> potwierdzający zgodność szaf metalowych </w:t>
      </w:r>
      <w:r w:rsidRPr="00F65964">
        <w:rPr>
          <w:rFonts w:cstheme="minorHAnsi"/>
          <w:b/>
        </w:rPr>
        <w:t>z klasą S1</w:t>
      </w:r>
      <w:r w:rsidRPr="00F65964">
        <w:rPr>
          <w:rFonts w:cstheme="minorHAnsi"/>
        </w:rPr>
        <w:t xml:space="preserve"> </w:t>
      </w:r>
      <w:r w:rsidRPr="00F65964">
        <w:rPr>
          <w:rFonts w:cstheme="minorHAnsi"/>
          <w:b/>
        </w:rPr>
        <w:t>Typ 2</w:t>
      </w:r>
      <w:r w:rsidRPr="00F65964">
        <w:rPr>
          <w:rFonts w:cstheme="minorHAnsi"/>
        </w:rPr>
        <w:t xml:space="preserve"> według Rozporządzenia Rady Ministrów z dnia z dnia 29.05.2012 r. w sprawie środków bezpieczeństwa fizycznego stosowanych do zabezpieczania informacji niejawnych,</w:t>
      </w:r>
    </w:p>
    <w:p w:rsidR="00F65964" w:rsidRPr="00F65964" w:rsidRDefault="00F65964" w:rsidP="00F65964">
      <w:pPr>
        <w:pStyle w:val="Akapitzlist"/>
        <w:autoSpaceDE w:val="0"/>
        <w:autoSpaceDN w:val="0"/>
        <w:adjustRightInd w:val="0"/>
        <w:spacing w:after="0" w:line="240" w:lineRule="auto"/>
        <w:jc w:val="both"/>
        <w:rPr>
          <w:rFonts w:cstheme="minorHAnsi"/>
        </w:rPr>
      </w:pPr>
      <w:r w:rsidRPr="00F65964">
        <w:rPr>
          <w:rFonts w:ascii="Calibri" w:hAnsi="Calibri" w:cs="Calibri"/>
          <w:b/>
          <w:bCs/>
        </w:rPr>
        <w:t xml:space="preserve">- </w:t>
      </w:r>
      <w:r w:rsidRPr="00F65964">
        <w:rPr>
          <w:rFonts w:cstheme="minorHAnsi"/>
          <w:b/>
        </w:rPr>
        <w:t>Certyfikat na montowane zamki</w:t>
      </w:r>
      <w:r w:rsidRPr="00F65964">
        <w:rPr>
          <w:rFonts w:cstheme="minorHAnsi"/>
        </w:rPr>
        <w:t xml:space="preserve"> </w:t>
      </w:r>
      <w:r w:rsidRPr="00F65964">
        <w:rPr>
          <w:rFonts w:cstheme="minorHAnsi"/>
          <w:b/>
        </w:rPr>
        <w:t xml:space="preserve"> </w:t>
      </w:r>
      <w:r w:rsidRPr="00F65964">
        <w:rPr>
          <w:rFonts w:cstheme="minorHAnsi"/>
        </w:rPr>
        <w:t>- zastosowane w nich zamki  zgodne z wymaganiami stawianymi szafom do przechowywania dokumentów niejawnych  zawartych w Rozporządzeniu Rady Ministrów z dnia 29.05.2012 r.</w:t>
      </w:r>
    </w:p>
    <w:p w:rsidR="00F65964" w:rsidRPr="00F65964" w:rsidRDefault="00F65964" w:rsidP="00F65964">
      <w:pPr>
        <w:numPr>
          <w:ilvl w:val="0"/>
          <w:numId w:val="15"/>
        </w:numPr>
        <w:autoSpaceDE w:val="0"/>
        <w:autoSpaceDN w:val="0"/>
        <w:adjustRightInd w:val="0"/>
        <w:spacing w:after="0" w:line="240" w:lineRule="auto"/>
        <w:ind w:left="714" w:hanging="357"/>
        <w:jc w:val="both"/>
        <w:rPr>
          <w:rFonts w:ascii="Calibri" w:hAnsi="Calibri" w:cs="Calibri"/>
          <w:b/>
          <w:bCs/>
          <w:u w:val="single"/>
        </w:rPr>
      </w:pPr>
      <w:r w:rsidRPr="00F65964">
        <w:rPr>
          <w:rFonts w:ascii="Calibri" w:hAnsi="Calibri" w:cs="Calibri"/>
          <w:b/>
          <w:bCs/>
          <w:u w:val="single"/>
        </w:rPr>
        <w:t xml:space="preserve">dla szaf </w:t>
      </w:r>
      <w:r w:rsidRPr="00F65964">
        <w:rPr>
          <w:rFonts w:ascii="Calibri" w:hAnsi="Calibri" w:cs="Calibri"/>
          <w:b/>
          <w:u w:val="single"/>
        </w:rPr>
        <w:t>Kl. S 2 Typ 3</w:t>
      </w:r>
      <w:r w:rsidRPr="00F65964">
        <w:rPr>
          <w:rFonts w:ascii="Calibri" w:hAnsi="Calibri" w:cs="Calibri"/>
          <w:b/>
          <w:bCs/>
          <w:u w:val="single"/>
        </w:rPr>
        <w:t>:</w:t>
      </w:r>
    </w:p>
    <w:p w:rsidR="00F65964" w:rsidRPr="00F65964" w:rsidRDefault="00F65964" w:rsidP="00F65964">
      <w:pPr>
        <w:pStyle w:val="Akapitzlist"/>
        <w:autoSpaceDE w:val="0"/>
        <w:autoSpaceDN w:val="0"/>
        <w:adjustRightInd w:val="0"/>
        <w:spacing w:after="0" w:line="240" w:lineRule="auto"/>
        <w:jc w:val="both"/>
        <w:rPr>
          <w:rFonts w:cstheme="minorHAnsi"/>
        </w:rPr>
      </w:pPr>
      <w:r w:rsidRPr="00F65964">
        <w:rPr>
          <w:rFonts w:ascii="Calibri" w:hAnsi="Calibri" w:cs="Calibri"/>
          <w:b/>
          <w:bCs/>
        </w:rPr>
        <w:t xml:space="preserve">- </w:t>
      </w:r>
      <w:r w:rsidRPr="00F65964">
        <w:rPr>
          <w:rFonts w:cstheme="minorHAnsi"/>
          <w:b/>
        </w:rPr>
        <w:t xml:space="preserve">Certyfikat </w:t>
      </w:r>
      <w:r w:rsidRPr="00F65964">
        <w:rPr>
          <w:rFonts w:cstheme="minorHAnsi"/>
        </w:rPr>
        <w:t xml:space="preserve">zgodności dla szaf do przechowywania </w:t>
      </w:r>
      <w:r w:rsidRPr="00F65964">
        <w:rPr>
          <w:rFonts w:cstheme="minorHAnsi"/>
          <w:b/>
        </w:rPr>
        <w:t>informacji niejawnych</w:t>
      </w:r>
      <w:r w:rsidRPr="00F65964">
        <w:rPr>
          <w:rFonts w:cstheme="minorHAnsi"/>
        </w:rPr>
        <w:t xml:space="preserve"> potwierdzający zgodność szaf metalowych </w:t>
      </w:r>
      <w:r w:rsidRPr="00F65964">
        <w:rPr>
          <w:rFonts w:cstheme="minorHAnsi"/>
          <w:b/>
        </w:rPr>
        <w:t>z klasą S2</w:t>
      </w:r>
      <w:r w:rsidRPr="00F65964">
        <w:rPr>
          <w:rFonts w:cstheme="minorHAnsi"/>
        </w:rPr>
        <w:t xml:space="preserve"> </w:t>
      </w:r>
      <w:r w:rsidRPr="00F65964">
        <w:rPr>
          <w:rFonts w:cstheme="minorHAnsi"/>
          <w:b/>
        </w:rPr>
        <w:t>Typ 3</w:t>
      </w:r>
      <w:r w:rsidRPr="00F65964">
        <w:rPr>
          <w:rFonts w:cstheme="minorHAnsi"/>
        </w:rPr>
        <w:t xml:space="preserve"> według Rozporządzenia Rady Ministrów z dnia z dnia 29.05.2012 r. w sprawie środków bezpieczeństwa fizycznego stosowanych do zabezpieczania informacji niejawnych,</w:t>
      </w:r>
    </w:p>
    <w:p w:rsidR="00F65964" w:rsidRPr="00F65964" w:rsidRDefault="00F65964" w:rsidP="00F65964">
      <w:pPr>
        <w:pStyle w:val="Akapitzlist"/>
        <w:autoSpaceDE w:val="0"/>
        <w:autoSpaceDN w:val="0"/>
        <w:adjustRightInd w:val="0"/>
        <w:spacing w:after="0" w:line="240" w:lineRule="auto"/>
        <w:jc w:val="both"/>
        <w:rPr>
          <w:rFonts w:ascii="Calibri" w:hAnsi="Calibri" w:cs="Calibri"/>
          <w:b/>
          <w:bCs/>
        </w:rPr>
      </w:pPr>
      <w:r w:rsidRPr="00F65964">
        <w:rPr>
          <w:rFonts w:ascii="Calibri" w:hAnsi="Calibri" w:cs="Calibri"/>
          <w:b/>
          <w:bCs/>
        </w:rPr>
        <w:t xml:space="preserve">- </w:t>
      </w:r>
      <w:r w:rsidRPr="00F65964">
        <w:rPr>
          <w:rFonts w:cstheme="minorHAnsi"/>
          <w:b/>
        </w:rPr>
        <w:t xml:space="preserve">Certyfikat na montowane zamki </w:t>
      </w:r>
      <w:r w:rsidRPr="00F65964">
        <w:rPr>
          <w:rFonts w:cstheme="minorHAnsi"/>
        </w:rPr>
        <w:t>- zastosowane w nich zamki zgodne z wymaganiami stawianymi szafom do przechowywania dokumentów niejawnych  zawartych w Rozporządzeniu Rady Ministrów z dnia 29.05.2012 r.</w:t>
      </w:r>
    </w:p>
    <w:p w:rsidR="00F65964" w:rsidRPr="00F65964" w:rsidRDefault="00F65964" w:rsidP="00F65964">
      <w:pPr>
        <w:pStyle w:val="Akapitzlist"/>
        <w:autoSpaceDE w:val="0"/>
        <w:autoSpaceDN w:val="0"/>
        <w:adjustRightInd w:val="0"/>
        <w:spacing w:after="0" w:line="240" w:lineRule="auto"/>
        <w:jc w:val="both"/>
        <w:rPr>
          <w:rFonts w:ascii="Calibri" w:hAnsi="Calibri" w:cs="Calibri"/>
          <w:b/>
          <w:bCs/>
          <w:u w:val="single"/>
        </w:rPr>
      </w:pPr>
    </w:p>
    <w:p w:rsidR="00392121" w:rsidRPr="005E00D6" w:rsidRDefault="00F973D4" w:rsidP="005E00D6">
      <w:pPr>
        <w:jc w:val="both"/>
        <w:rPr>
          <w:b/>
        </w:rPr>
      </w:pPr>
      <w:r w:rsidRPr="005E00D6">
        <w:rPr>
          <w:b/>
        </w:rPr>
        <w:t>Zamawiający uzna ofertę za ważną tylko i wyłącznie wtedy</w:t>
      </w:r>
      <w:r w:rsidR="006B55EA" w:rsidRPr="005E00D6">
        <w:rPr>
          <w:b/>
        </w:rPr>
        <w:t>,</w:t>
      </w:r>
      <w:r w:rsidRPr="005E00D6">
        <w:rPr>
          <w:b/>
        </w:rPr>
        <w:t xml:space="preserve"> kiedy każda z pozycji zostanie wyceniona.</w:t>
      </w:r>
      <w:r w:rsidR="005E00D6">
        <w:rPr>
          <w:b/>
        </w:rPr>
        <w:t xml:space="preserve"> </w:t>
      </w:r>
      <w:r w:rsidRPr="005E00D6">
        <w:rPr>
          <w:b/>
        </w:rP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F65964">
        <w:t>937a</w:t>
      </w:r>
      <w:r w:rsidR="00F91B07" w:rsidRPr="001C58D7">
        <w:t>/</w:t>
      </w:r>
      <w:r w:rsidRPr="001C58D7">
        <w:t>20</w:t>
      </w:r>
      <w:r w:rsidR="004F3BC7" w:rsidRPr="001C58D7">
        <w:t>2</w:t>
      </w:r>
      <w:r w:rsidR="00DF294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t>
      </w:r>
      <w:r w:rsidRPr="00256A3B">
        <w:rPr>
          <w:rFonts w:asciiTheme="minorHAnsi" w:hAnsiTheme="minorHAnsi" w:cstheme="minorHAnsi"/>
          <w:sz w:val="22"/>
          <w:szCs w:val="24"/>
        </w:rPr>
        <w:lastRenderedPageBreak/>
        <w:t>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F65964" w:rsidRDefault="00F6596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B5" w:rsidRDefault="006705B5" w:rsidP="00A13F72">
      <w:pPr>
        <w:spacing w:after="0" w:line="240" w:lineRule="auto"/>
      </w:pPr>
      <w:r>
        <w:separator/>
      </w:r>
    </w:p>
  </w:endnote>
  <w:endnote w:type="continuationSeparator" w:id="0">
    <w:p w:rsidR="006705B5" w:rsidRDefault="006705B5"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B5" w:rsidRDefault="006705B5" w:rsidP="00A13F72">
      <w:pPr>
        <w:spacing w:after="0" w:line="240" w:lineRule="auto"/>
      </w:pPr>
      <w:r>
        <w:separator/>
      </w:r>
    </w:p>
  </w:footnote>
  <w:footnote w:type="continuationSeparator" w:id="0">
    <w:p w:rsidR="006705B5" w:rsidRDefault="006705B5"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00596C">
      <w:rPr>
        <w:rFonts w:asciiTheme="minorHAnsi" w:hAnsiTheme="minorHAnsi" w:cs="Arial"/>
        <w:b/>
        <w:spacing w:val="-8"/>
        <w:sz w:val="20"/>
        <w:szCs w:val="20"/>
      </w:rPr>
      <w:t>937a</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9"/>
  </w:num>
  <w:num w:numId="3">
    <w:abstractNumId w:val="10"/>
  </w:num>
  <w:num w:numId="4">
    <w:abstractNumId w:val="7"/>
  </w:num>
  <w:num w:numId="5">
    <w:abstractNumId w:val="2"/>
  </w:num>
  <w:num w:numId="6">
    <w:abstractNumId w:val="8"/>
  </w:num>
  <w:num w:numId="7">
    <w:abstractNumId w:val="13"/>
  </w:num>
  <w:num w:numId="8">
    <w:abstractNumId w:val="14"/>
  </w:num>
  <w:num w:numId="9">
    <w:abstractNumId w:val="4"/>
  </w:num>
  <w:num w:numId="10">
    <w:abstractNumId w:val="5"/>
  </w:num>
  <w:num w:numId="11">
    <w:abstractNumId w:val="12"/>
  </w:num>
  <w:num w:numId="12">
    <w:abstractNumId w:val="6"/>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0770"/>
  </w:hdrShapeDefaults>
  <w:footnotePr>
    <w:footnote w:id="-1"/>
    <w:footnote w:id="0"/>
  </w:footnotePr>
  <w:endnotePr>
    <w:endnote w:id="-1"/>
    <w:endnote w:id="0"/>
  </w:endnotePr>
  <w:compat/>
  <w:rsids>
    <w:rsidRoot w:val="00891C24"/>
    <w:rsid w:val="000010E7"/>
    <w:rsid w:val="0000596C"/>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00D6"/>
    <w:rsid w:val="005E1E24"/>
    <w:rsid w:val="005E3AD2"/>
    <w:rsid w:val="00605AAE"/>
    <w:rsid w:val="0064189F"/>
    <w:rsid w:val="00660BE4"/>
    <w:rsid w:val="006705B5"/>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A787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D02EC"/>
    <w:rsid w:val="00AD7661"/>
    <w:rsid w:val="00AF1BF5"/>
    <w:rsid w:val="00AF1E95"/>
    <w:rsid w:val="00AF7CE5"/>
    <w:rsid w:val="00B0636B"/>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847"/>
    <w:rsid w:val="00D03DD0"/>
    <w:rsid w:val="00D14445"/>
    <w:rsid w:val="00D338F2"/>
    <w:rsid w:val="00D41BA9"/>
    <w:rsid w:val="00D50B28"/>
    <w:rsid w:val="00D55968"/>
    <w:rsid w:val="00D840A3"/>
    <w:rsid w:val="00D86F10"/>
    <w:rsid w:val="00D901F5"/>
    <w:rsid w:val="00D92C12"/>
    <w:rsid w:val="00D97F18"/>
    <w:rsid w:val="00DB13A0"/>
    <w:rsid w:val="00DC6305"/>
    <w:rsid w:val="00DD43A6"/>
    <w:rsid w:val="00DF2949"/>
    <w:rsid w:val="00E0164F"/>
    <w:rsid w:val="00E224B6"/>
    <w:rsid w:val="00E36582"/>
    <w:rsid w:val="00E6207A"/>
    <w:rsid w:val="00E730C5"/>
    <w:rsid w:val="00EA7B90"/>
    <w:rsid w:val="00EB559B"/>
    <w:rsid w:val="00ED1CC0"/>
    <w:rsid w:val="00EE3CFC"/>
    <w:rsid w:val="00EF0DA3"/>
    <w:rsid w:val="00F15F2C"/>
    <w:rsid w:val="00F3374F"/>
    <w:rsid w:val="00F43D89"/>
    <w:rsid w:val="00F4466D"/>
    <w:rsid w:val="00F51340"/>
    <w:rsid w:val="00F65964"/>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1667</Words>
  <Characters>10007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144</cp:revision>
  <dcterms:created xsi:type="dcterms:W3CDTF">2017-07-17T09:21:00Z</dcterms:created>
  <dcterms:modified xsi:type="dcterms:W3CDTF">2024-09-16T08:51:00Z</dcterms:modified>
</cp:coreProperties>
</file>